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CB" w:rsidRDefault="00EB3A03" w:rsidP="007A59CB">
      <w:pPr>
        <w:pStyle w:val="TechnicalBlock"/>
        <w:ind w:left="-1134" w:right="-1134"/>
      </w:pPr>
      <w:bookmarkStart w:id="0" w:name="DW_BM_COVERPAGE"/>
      <w:bookmarkStart w:id="1" w:name="_GoBack"/>
      <w:bookmarkEnd w:id="1"/>
      <w:r>
        <w:rPr>
          <w:noProof/>
          <w:lang w:val="en-US"/>
        </w:rPr>
        <w:drawing>
          <wp:inline distT="0" distB="0" distL="0" distR="0">
            <wp:extent cx="7231380" cy="5105400"/>
            <wp:effectExtent l="0" t="0" r="0" b="0"/>
            <wp:docPr id="1" name="Picture 1" descr="4146f7c8-fe88-4011-aa99-0d951613faab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46f7c8-fe88-4011-aa99-0d951613faab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1380" cy="5105400"/>
                    </a:xfrm>
                    <a:prstGeom prst="rect">
                      <a:avLst/>
                    </a:prstGeom>
                    <a:noFill/>
                    <a:ln>
                      <a:noFill/>
                    </a:ln>
                  </pic:spPr>
                </pic:pic>
              </a:graphicData>
            </a:graphic>
          </wp:inline>
        </w:drawing>
      </w:r>
      <w:bookmarkEnd w:id="0"/>
    </w:p>
    <w:p w:rsidR="007A59CB" w:rsidRDefault="007A59CB" w:rsidP="007A59CB">
      <w:pPr>
        <w:pStyle w:val="EntText"/>
        <w:spacing w:before="480"/>
      </w:pPr>
      <w:r w:rsidRPr="007A59CB">
        <w:t xml:space="preserve">Käesolevaga edastatakse delegatsioonidele dokument </w:t>
      </w:r>
      <w:r w:rsidR="0064647E">
        <w:fldChar w:fldCharType="begin"/>
      </w:r>
      <w:r>
        <w:instrText xml:space="preserve"> QUOTE "</w:instrText>
      </w:r>
      <w:r w:rsidR="0064647E">
        <w:fldChar w:fldCharType="begin">
          <w:fldData xml:space="preserve">QwBvAG0AbQBEAG8AYwBzAHwAUwBMAA==
</w:fldData>
        </w:fldChar>
      </w:r>
      <w:r>
        <w:instrText xml:space="preserve"> ADDIN "DocuWrite metadata link" </w:instrText>
      </w:r>
      <w:r w:rsidR="0064647E">
        <w:fldChar w:fldCharType="end"/>
      </w:r>
      <w:r w:rsidRPr="007A59CB">
        <w:instrText>COM(2016) 25 final</w:instrText>
      </w:r>
      <w:r>
        <w:instrText xml:space="preserve">" </w:instrText>
      </w:r>
      <w:r w:rsidR="0064647E">
        <w:fldChar w:fldCharType="separate"/>
      </w:r>
      <w:r w:rsidRPr="007A59CB">
        <w:t>COM(2016) 25 final</w:t>
      </w:r>
      <w:r w:rsidR="0064647E">
        <w:fldChar w:fldCharType="end"/>
      </w:r>
      <w:r w:rsidRPr="007A59CB">
        <w:t>.</w:t>
      </w:r>
    </w:p>
    <w:p w:rsidR="007A59CB" w:rsidRDefault="007A59CB" w:rsidP="007A59CB">
      <w:pPr>
        <w:pStyle w:val="Lignefinal"/>
      </w:pPr>
    </w:p>
    <w:p w:rsidR="007A59CB" w:rsidRPr="007A59CB" w:rsidRDefault="007A59CB" w:rsidP="007A59CB">
      <w:pPr>
        <w:pStyle w:val="pj"/>
        <w:spacing w:before="120"/>
      </w:pPr>
      <w:r w:rsidRPr="007A59CB">
        <w:t xml:space="preserve">Lisatud: </w:t>
      </w:r>
      <w:r w:rsidR="0064647E">
        <w:fldChar w:fldCharType="begin"/>
      </w:r>
      <w:r>
        <w:instrText xml:space="preserve"> QUOTE "</w:instrText>
      </w:r>
      <w:r w:rsidR="0064647E">
        <w:fldChar w:fldCharType="begin">
          <w:fldData xml:space="preserve">QwBvAG0AbQBEAG8AYwBzAHwAUwBMAA==
</w:fldData>
        </w:fldChar>
      </w:r>
      <w:r>
        <w:instrText xml:space="preserve"> ADDIN "DocuWrite metadata link" </w:instrText>
      </w:r>
      <w:r w:rsidR="0064647E">
        <w:fldChar w:fldCharType="end"/>
      </w:r>
      <w:r w:rsidRPr="007A59CB">
        <w:instrText>COM(2016) 25 final</w:instrText>
      </w:r>
      <w:r>
        <w:instrText xml:space="preserve">" </w:instrText>
      </w:r>
      <w:r w:rsidR="0064647E">
        <w:fldChar w:fldCharType="separate"/>
      </w:r>
      <w:r w:rsidRPr="007A59CB">
        <w:t>COM(2016) 25 final</w:t>
      </w:r>
      <w:r w:rsidR="0064647E">
        <w:fldChar w:fldCharType="end"/>
      </w:r>
    </w:p>
    <w:p w:rsidR="007A59CB" w:rsidRDefault="007A59CB" w:rsidP="007A59CB">
      <w:pPr>
        <w:rPr>
          <w:noProof/>
        </w:rPr>
        <w:sectPr w:rsidR="007A59CB" w:rsidSect="007A59CB">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1449F2" w:rsidRDefault="00EB3A03" w:rsidP="002324A9">
      <w:pPr>
        <w:pStyle w:val="Pagedecouverture"/>
        <w:rPr>
          <w:noProof/>
        </w:rPr>
      </w:pPr>
      <w:r>
        <w:rPr>
          <w:noProof/>
          <w:lang w:val="en-US"/>
        </w:rPr>
        <w:lastRenderedPageBreak/>
        <w:drawing>
          <wp:inline distT="0" distB="0" distL="0" distR="0">
            <wp:extent cx="5722620" cy="4465320"/>
            <wp:effectExtent l="0" t="0" r="0" b="0"/>
            <wp:docPr id="2" name="Picture 2" descr="9B46440C0A634B91B75D834DA45BDB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B46440C0A634B91B75D834DA45BDB0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2620" cy="4465320"/>
                    </a:xfrm>
                    <a:prstGeom prst="rect">
                      <a:avLst/>
                    </a:prstGeom>
                    <a:noFill/>
                    <a:ln>
                      <a:noFill/>
                    </a:ln>
                  </pic:spPr>
                </pic:pic>
              </a:graphicData>
            </a:graphic>
          </wp:inline>
        </w:drawing>
      </w:r>
    </w:p>
    <w:p w:rsidR="001449F2" w:rsidRDefault="001449F2">
      <w:pPr>
        <w:rPr>
          <w:noProof/>
        </w:rPr>
        <w:sectPr w:rsidR="001449F2" w:rsidSect="002324A9">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360"/>
        </w:sectPr>
      </w:pPr>
    </w:p>
    <w:p w:rsidR="001449F2" w:rsidRDefault="002324A9">
      <w:pPr>
        <w:pStyle w:val="Exposdesmotifstitre"/>
        <w:rPr>
          <w:noProof/>
          <w:lang w:eastAsia="et-EE" w:bidi="et-EE"/>
        </w:rPr>
      </w:pPr>
      <w:r>
        <w:rPr>
          <w:noProof/>
          <w:lang w:eastAsia="et-EE" w:bidi="et-EE"/>
        </w:rPr>
        <w:lastRenderedPageBreak/>
        <w:t>SELETUSKIRI</w:t>
      </w:r>
      <w:r>
        <w:rPr>
          <w:noProof/>
          <w:lang w:eastAsia="et-EE" w:bidi="et-EE"/>
        </w:rPr>
        <w:br/>
      </w:r>
    </w:p>
    <w:p w:rsidR="001449F2" w:rsidRDefault="002324A9">
      <w:pPr>
        <w:pStyle w:val="ManualHeading1"/>
        <w:rPr>
          <w:noProof/>
          <w:lang w:eastAsia="et-EE" w:bidi="et-EE"/>
        </w:rPr>
      </w:pPr>
      <w:r>
        <w:rPr>
          <w:noProof/>
          <w:lang w:eastAsia="et-EE" w:bidi="et-EE"/>
        </w:rPr>
        <w:t>1.</w:t>
      </w:r>
      <w:r>
        <w:rPr>
          <w:noProof/>
          <w:lang w:eastAsia="et-EE" w:bidi="et-EE"/>
        </w:rPr>
        <w:tab/>
        <w:t>ETTEPANEKU TAUST</w:t>
      </w:r>
    </w:p>
    <w:p w:rsidR="001449F2" w:rsidRDefault="002324A9">
      <w:pPr>
        <w:pStyle w:val="ManualHeading2"/>
        <w:rPr>
          <w:rFonts w:eastAsia="Arial Unicode MS"/>
          <w:noProof/>
          <w:lang w:eastAsia="et-EE" w:bidi="et-EE"/>
        </w:rPr>
      </w:pPr>
      <w:r>
        <w:rPr>
          <w:noProof/>
          <w:lang w:eastAsia="et-EE" w:bidi="et-EE"/>
        </w:rPr>
        <w:t>•</w:t>
      </w:r>
      <w:r>
        <w:rPr>
          <w:noProof/>
          <w:lang w:eastAsia="et-EE" w:bidi="et-EE"/>
        </w:rPr>
        <w:tab/>
        <w:t>Ettepaneku põhjused ja eesmärgid</w:t>
      </w:r>
    </w:p>
    <w:p w:rsidR="001449F2" w:rsidRDefault="002324A9">
      <w:pPr>
        <w:spacing w:after="0"/>
        <w:rPr>
          <w:rFonts w:eastAsia="Times New Roman"/>
          <w:noProof/>
          <w:lang w:eastAsia="et-EE" w:bidi="et-EE"/>
        </w:rPr>
      </w:pPr>
      <w:r>
        <w:rPr>
          <w:noProof/>
          <w:lang w:eastAsia="et-EE" w:bidi="et-EE"/>
        </w:rPr>
        <w:t>Euroopa Ülemkogu 18. detsembri 2014. aasta järeldustes rõhutati pakilist vajadust suurendada maailmas ja ELis jõupingutusi võitluses maksustamise vältimisega ja agressiivse maksuplaneerimisega. Alates 2014. aasta detsembrist on komisjon teinud esimesi samme ELi lähenemisviisi väljatöötamiseks. Vahepeal on OECD lõpetanud töö üleilmsete eeskirjade ja standardite määratlemisel nende eesmärkide saavutamiseks.</w:t>
      </w:r>
    </w:p>
    <w:p w:rsidR="001449F2" w:rsidRDefault="002324A9">
      <w:pPr>
        <w:spacing w:after="0"/>
        <w:rPr>
          <w:rFonts w:eastAsia="Times New Roman"/>
          <w:noProof/>
          <w:lang w:eastAsia="et-EE" w:bidi="et-EE"/>
        </w:rPr>
      </w:pPr>
      <w:r>
        <w:rPr>
          <w:noProof/>
          <w:lang w:eastAsia="et-EE" w:bidi="et-EE"/>
        </w:rPr>
        <w:t>Kõnealune direktiiv, millega muudetakse nõukogu direktiivi 2011/16/EL osana komisjoni maksudest kõrvalehoidumise vastu võitlemise paketist, käsitleb poliitilist prioriteeti võidelda maksudest kõrvalehoidumise ja agressiivse maksuplaneerimise vastu. See vastab ka Euroopa Parlamendi esitatud nõudmistele. Direktiiv on ka kooskõlas äriühingute õiglasema maksustamise tegevuskava (COM(2015) 302) algatustega, millega võideldakse maksudest kõrvalehoidumise vastu.</w:t>
      </w:r>
    </w:p>
    <w:p w:rsidR="001449F2" w:rsidRDefault="002324A9">
      <w:pPr>
        <w:spacing w:after="0"/>
        <w:rPr>
          <w:rFonts w:eastAsia="Times New Roman"/>
          <w:noProof/>
          <w:lang w:eastAsia="et-EE" w:bidi="et-EE"/>
        </w:rPr>
      </w:pPr>
      <w:r>
        <w:rPr>
          <w:noProof/>
          <w:lang w:eastAsia="et-EE" w:bidi="et-EE"/>
        </w:rPr>
        <w:t>Ettevõtjad on maksuplaneerimist tavakohaselt käsitanud seadusliku tegevusena seetõttu, et nad kasutavad õiguslikke kokkuleppeid oma maksukohustuste vähendamiseks. Viimastel aastatel on maksuplaneerimine aga muutunud palju keerukamaks, ületades jurisdiktsioonide piire ja suunates maksustatava kasumi soodsama maksukorraga riikidesse. Selline „agressiivne” maksuplaneerimine võib esineda mitmesugusel kujul, nt maksukohustuse vähendamiseks või vältimiseks kasutatakse ära mõne maksusüsteemi nüansse või kahe või enama maksusüsteemi vahelisi ebakõlasid. Selle tulemuseks on muu hulgas topeltmahaarvamised (nt sama kulu arvatakse maha nii allikariigis kui ka asukohaliikmesriigis) ja topeltmaksuvabastus (nt tulu ei maksustata selle allikariigis ega tulu saaja asukohariigis).</w:t>
      </w:r>
    </w:p>
    <w:p w:rsidR="001449F2" w:rsidRDefault="002324A9">
      <w:pPr>
        <w:spacing w:after="0"/>
        <w:rPr>
          <w:rFonts w:eastAsia="Times New Roman"/>
          <w:noProof/>
          <w:lang w:eastAsia="et-EE" w:bidi="et-EE"/>
        </w:rPr>
      </w:pPr>
      <w:r>
        <w:rPr>
          <w:noProof/>
          <w:lang w:eastAsia="et-EE" w:bidi="et-EE"/>
        </w:rPr>
        <w:t>Erinevalt väikestest ja keskmise suurusega ettevõtjatest ning füüsilisest isikust maksumaksjatest on rahvusvahelistel kontsernidel võimalik kasutada lünki riigisiseses ja rahvusvahelises maksuõiguses, et paigutada kasum ümber ühest riigist teise ning vähendada sellega oma maksukoormust.</w:t>
      </w:r>
    </w:p>
    <w:p w:rsidR="001449F2" w:rsidRDefault="002324A9">
      <w:pPr>
        <w:spacing w:after="0"/>
        <w:rPr>
          <w:rFonts w:eastAsia="Times New Roman"/>
          <w:noProof/>
          <w:lang w:eastAsia="et-EE" w:bidi="et-EE"/>
        </w:rPr>
      </w:pPr>
      <w:r>
        <w:rPr>
          <w:noProof/>
          <w:lang w:eastAsia="et-EE" w:bidi="et-EE"/>
        </w:rPr>
        <w:t xml:space="preserve">Viimaste aastate ülemaailmne majandus- ja finantskriis on suurendanud avalikkuse teadlikkust vajadusest tagada, et kõik majanduses osalejad maksaksid õiglase osa maksudest. See peaks kaasa tooma suurema maksutulu, mis aitaks vähendada avaliku sektori eelarvepuudujääki, ning sellest saaksid kasu kõik. </w:t>
      </w:r>
    </w:p>
    <w:p w:rsidR="001449F2" w:rsidRDefault="002324A9">
      <w:pPr>
        <w:spacing w:after="0"/>
        <w:rPr>
          <w:rFonts w:eastAsia="Times New Roman"/>
          <w:noProof/>
          <w:lang w:eastAsia="et-EE" w:bidi="et-EE"/>
        </w:rPr>
      </w:pPr>
      <w:r>
        <w:rPr>
          <w:noProof/>
          <w:lang w:eastAsia="et-EE" w:bidi="et-EE"/>
        </w:rPr>
        <w:t xml:space="preserve">Sellega seoses vajavad maksuhaldurid põhjalikku ja asjakohast teavet rahvusvaheliste kontsernide struktuuri, siirdehindade poliitika ja seotud osapooltega tehtud sisetehingute kohta. Selleks et võidelda maksudest kõrvalehoidumise ja agressiivse maksuplaneerimise vastu, kehtestatakse käesoleva direktiiviga rahvusvaheliste kontsernide läbipaistvusnõuded. Rahvusvahelised kontsernid peavad direktiivi kohaselt esitama igal aastal ja iga maksujurisdiktsiooni kohta, kus nad äri ajavad, teatava teabe, sealhulgas tulude summa, kasum enne tulumaksu, makstud ja kogunenud tulumaks, töötajate arv, deklareeritud kapital, jaotamata kasum ja materiaalne vara. See teave võimaldab maksuhalduril reageerida kahjulikele maksutavadele, tehes muutusi õigusaktides või asjakohaseid riskihinnanguid ja maksuauditeid. Suurem läbipaistvus motiveeriks rahvusvahelisi kontserne ka kasumi saamise riigis õiglast maksukoormat kandma. </w:t>
      </w:r>
    </w:p>
    <w:p w:rsidR="001449F2" w:rsidRDefault="002324A9">
      <w:pPr>
        <w:spacing w:after="0"/>
        <w:rPr>
          <w:rFonts w:eastAsia="Times New Roman"/>
          <w:noProof/>
          <w:lang w:eastAsia="et-EE" w:bidi="et-EE"/>
        </w:rPr>
      </w:pPr>
      <w:r>
        <w:rPr>
          <w:noProof/>
          <w:lang w:eastAsia="et-EE" w:bidi="et-EE"/>
        </w:rPr>
        <w:lastRenderedPageBreak/>
        <w:t>Uued läbipaistvusnõuded peaksid tagama, et ettevõtjate halduskoormus oleks võimalikult väike. ELi rahvusvahelised kontsernid ei peaks põhimõtteliselt olema kohustatud esitama teavet igas ELi liikmesriigis, kus tegutsetakse, vaid üksnes maksuhaldurile oma asukohariigis. Käesoleva direktiivi kohaselt peaksid liikmesriigid, kui nad on saanud aruande riikide lõikes, jagama teavet liikmesriikidega, mille kohta on aruandes sisalduva teabe alusel teada, et ettevõtja on liikmesriigi maksuresident või maksukohustuslane seoses püsiva tegevuskoha kaudu tehtava äriga.</w:t>
      </w:r>
    </w:p>
    <w:p w:rsidR="001449F2" w:rsidRDefault="002324A9">
      <w:pPr>
        <w:spacing w:after="0"/>
        <w:rPr>
          <w:rFonts w:eastAsia="Times New Roman"/>
          <w:noProof/>
          <w:lang w:eastAsia="et-EE" w:bidi="et-EE"/>
        </w:rPr>
      </w:pPr>
      <w:r>
        <w:rPr>
          <w:noProof/>
          <w:lang w:eastAsia="et-EE" w:bidi="et-EE"/>
        </w:rPr>
        <w:t>Et tagada asjakohane tasakaal aruandluskoormuse ja maksuametite saadava kasu vahel, peavad aruande riikide lõikes esitama vaid rahvusvahelised kontsernid, mille konsolideeritud kontserni tulu on 750 000 000 eurot või rohkem. Majanduskoostöö ja Arengu Organisatsiooni (OECD) hinnangute kohaselt jääb 85–90 protsenti rahvusvahelistest kontsernidest nõuete kohaldamisalast välja, kuid sellele vaatamata peavad aruande riikide lõikes esitama rahvusvahelised kontsernid, kes kontrollivad ligikaudu 90 protsenti tuludest.</w:t>
      </w:r>
    </w:p>
    <w:p w:rsidR="001449F2" w:rsidRDefault="002324A9">
      <w:pPr>
        <w:rPr>
          <w:rFonts w:eastAsia="Times New Roman"/>
          <w:noProof/>
          <w:lang w:eastAsia="et-EE" w:bidi="et-EE"/>
        </w:rPr>
      </w:pPr>
      <w:r>
        <w:rPr>
          <w:noProof/>
          <w:lang w:eastAsia="et-EE" w:bidi="et-EE"/>
        </w:rPr>
        <w:t>Rohkem kui kunagi varem on koostöö liikmesriikide maksuhaldurite vahel ülioluline, et võidelda maksustamise vältimise ja agressiivse maksuplaneerimise vastu. ELi õigusaktidega on sätestatud halduskoostöö liikmesriikide maksuhaldurite vahel ja nähtud ette mitmeid vahendeid, sealhulgas teabevahetus, mis aitavad teha koostööd tulude kogumisel. Siiski peab EL jätkama koostööd, et tagada siseturu nõuetekohane toimimine seoses põhiõigustega, mis on sätestatud Euroopa Liidu põhiõiguste hartas.</w:t>
      </w:r>
    </w:p>
    <w:p w:rsidR="001449F2" w:rsidRDefault="002324A9">
      <w:pPr>
        <w:spacing w:after="0"/>
        <w:rPr>
          <w:rFonts w:eastAsia="Times New Roman"/>
          <w:noProof/>
          <w:lang w:eastAsia="et-EE" w:bidi="et-EE"/>
        </w:rPr>
      </w:pPr>
      <w:r>
        <w:rPr>
          <w:noProof/>
          <w:lang w:eastAsia="et-EE" w:bidi="et-EE"/>
        </w:rPr>
        <w:t>Nõukogu direktiiv 77/799/EMÜ</w:t>
      </w:r>
      <w:r>
        <w:rPr>
          <w:rStyle w:val="FootnoteReference"/>
          <w:noProof/>
        </w:rPr>
        <w:footnoteReference w:id="1"/>
      </w:r>
      <w:r>
        <w:rPr>
          <w:noProof/>
          <w:lang w:eastAsia="et-EE" w:bidi="et-EE"/>
        </w:rPr>
        <w:t xml:space="preserve"> oli esimene vastus liikmesriikide vajadusele suurendada vastastikust abi maksustamise valdkonnas. See asendati nõukogu direktiiviga 2011/16/EL</w:t>
      </w:r>
      <w:r>
        <w:rPr>
          <w:rStyle w:val="FootnoteReference"/>
          <w:noProof/>
        </w:rPr>
        <w:footnoteReference w:id="2"/>
      </w:r>
      <w:r>
        <w:rPr>
          <w:noProof/>
          <w:lang w:eastAsia="et-EE" w:bidi="et-EE"/>
        </w:rPr>
        <w:t xml:space="preserve"> (halduskoostöö direktiiv DAC), mille eesmärk oli suurendada eelmise direktiivi tõhusust. Viimastel aastatel on kõnealust direktiivi muudetud direktiiviga 2014/107/EL (DAC2) ja direktiiviga EL/2015/2376 (DAC3), andes maksuhalduritele täiendavaid vahendeid võitluseks maksupettuse, maksudest kõrvalehoidumise ja agressiivse maksuplaneerimisega finantskontode, maksuotsuste ja siirdehindade eelkokkulepete valdkonnas.</w:t>
      </w:r>
    </w:p>
    <w:p w:rsidR="001449F2" w:rsidRDefault="002324A9">
      <w:pPr>
        <w:rPr>
          <w:rFonts w:eastAsia="Times New Roman"/>
          <w:noProof/>
          <w:lang w:eastAsia="et-EE" w:bidi="et-EE"/>
        </w:rPr>
      </w:pPr>
      <w:r>
        <w:rPr>
          <w:noProof/>
          <w:lang w:eastAsia="et-EE" w:bidi="et-EE"/>
        </w:rPr>
        <w:t xml:space="preserve">Käesoleva ettepaneku eesmärk on tagada, et direktiiv 2011/16/EL tagaks jätkuvalt igakülgse ja tõhusa halduskoostöö maksuametite vahel, nähes ette kohustusliku automaatse teabevahetuse riikide lõikes esitatavate aruannete puhul. </w:t>
      </w:r>
    </w:p>
    <w:p w:rsidR="001449F2" w:rsidRDefault="002324A9">
      <w:pPr>
        <w:rPr>
          <w:rFonts w:eastAsia="Times New Roman"/>
          <w:noProof/>
          <w:lang w:eastAsia="et-EE" w:bidi="et-EE"/>
        </w:rPr>
      </w:pPr>
      <w:r>
        <w:rPr>
          <w:noProof/>
          <w:lang w:eastAsia="et-EE" w:bidi="et-EE"/>
        </w:rPr>
        <w:t>Käesolev direktiiv on kooskõlas rahvusvaheliste suundumustega. 5. oktoobril 2015 esitas OECD lõpparuanded maksubaasi kahanemise ja kasumi ümberpaigutamise (BEPS) tegevuskava kohta, mis on oluline algatus kehtivate rahvusvaheliste eeskirjade muutmiseks. 15.–16. novembril 2015 kiitsid OECD paketi heaks ka G20 juhid. OECD BEPSi tegevuskava 13. meetme raames töötati välja standardite kogum teabe andmiseks rahvusvaheliste kontsernide siirdehindade kohta, sealhulgas põhitoimik, kohalik toimik ja aruanne riikide lõikes. Direktiiv aitab kaasa riikide lõikes esitatava aruande rakendamisele liidus.</w:t>
      </w:r>
    </w:p>
    <w:p w:rsidR="001449F2" w:rsidRDefault="002324A9">
      <w:pPr>
        <w:rPr>
          <w:rFonts w:eastAsia="Times New Roman"/>
          <w:noProof/>
          <w:lang w:eastAsia="et-EE" w:bidi="et-EE"/>
        </w:rPr>
      </w:pPr>
      <w:r>
        <w:rPr>
          <w:noProof/>
          <w:lang w:eastAsia="et-EE" w:bidi="et-EE"/>
        </w:rPr>
        <w:t xml:space="preserve">Enamik liikmesriike on OECD liikmena võtnud kohustuse rakendada BEPSi vastase 15 meetme kohta käivate lõpparuannete järeldusi. Seepärast on siseturu heaks toimimiseks vajalik, et liikmesriigid võtaksid BEPSi vastased poliitilised kohustused üle oma siseriiklikku õigussüsteemi sidusal ja koordineeritud viisil. See peaks olema edasine samm, et maksimeerida positiivne mõju siseturule tervikuna. Kui seda ei tehta, siis võib BEPSi vastaste meetmete ühepoolne rakendamine tuua kaasa vastuolud riikide poliitikas ja uued takistused </w:t>
      </w:r>
      <w:r>
        <w:rPr>
          <w:noProof/>
          <w:lang w:eastAsia="et-EE" w:bidi="et-EE"/>
        </w:rPr>
        <w:lastRenderedPageBreak/>
        <w:t xml:space="preserve">siseturul, mis oleks jätkuvalt 28 osaks killustatud ning kannataks mittevastavuste ja muude moonutuste käes. </w:t>
      </w:r>
    </w:p>
    <w:p w:rsidR="001449F2" w:rsidRDefault="002324A9">
      <w:pPr>
        <w:rPr>
          <w:rFonts w:eastAsia="Times New Roman"/>
          <w:noProof/>
          <w:lang w:eastAsia="et-EE" w:bidi="et-EE"/>
        </w:rPr>
      </w:pPr>
      <w:r>
        <w:rPr>
          <w:noProof/>
          <w:lang w:eastAsia="et-EE" w:bidi="et-EE"/>
        </w:rPr>
        <w:t>Käesoleva algatuse eesmärk on saavutada teatav ühtlus maksubaasi kahanemise ja kasumi ümberpaigutamise vastase 13. meetme rakendamisel kogu ELis. Direktiivi eesmärk on ka edendada erinevate ettevõtjate ausat konkurentsi ning kokkuvõttes kaitsta ELi liikmesriikide maksubaasi.</w:t>
      </w:r>
    </w:p>
    <w:p w:rsidR="001449F2" w:rsidRDefault="002324A9">
      <w:pPr>
        <w:rPr>
          <w:rFonts w:eastAsia="Times New Roman"/>
          <w:noProof/>
          <w:lang w:eastAsia="et-EE" w:bidi="et-EE"/>
        </w:rPr>
      </w:pPr>
      <w:r>
        <w:rPr>
          <w:noProof/>
          <w:lang w:eastAsia="et-EE" w:bidi="et-EE"/>
        </w:rPr>
        <w:t xml:space="preserve">Ettepanek on kavandatud konkreetselt nii, et aruandlust riikide lõikes käsitlev automaatne teabevahetus põhineks direktiivi 2011/16/EL kehtivatel eeskirjadel, mis on seotud teabevahetuse praktilise korraldusega, sh standardvormide kasutamisega. </w:t>
      </w:r>
    </w:p>
    <w:p w:rsidR="001449F2" w:rsidRDefault="002324A9">
      <w:pPr>
        <w:rPr>
          <w:rFonts w:eastAsia="Times New Roman"/>
          <w:noProof/>
          <w:lang w:eastAsia="et-EE" w:bidi="et-EE"/>
        </w:rPr>
      </w:pPr>
      <w:r>
        <w:rPr>
          <w:noProof/>
          <w:lang w:eastAsia="et-EE" w:bidi="et-EE"/>
        </w:rPr>
        <w:t>Komisjon kohustus teha ettepanek piiriüleseid maksuotsuseid käsitleva automaatse teabevahetuse kohta ja see kajastub komisjoni 2016. aasta tööprogrammis</w:t>
      </w:r>
      <w:r>
        <w:rPr>
          <w:rStyle w:val="FootnoteReference"/>
          <w:noProof/>
        </w:rPr>
        <w:footnoteReference w:id="3"/>
      </w:r>
      <w:r>
        <w:rPr>
          <w:noProof/>
          <w:lang w:eastAsia="et-EE" w:bidi="et-EE"/>
        </w:rPr>
        <w:t>.</w:t>
      </w:r>
    </w:p>
    <w:p w:rsidR="001449F2" w:rsidRDefault="001449F2">
      <w:pPr>
        <w:rPr>
          <w:rFonts w:eastAsia="Times New Roman"/>
          <w:noProof/>
          <w:lang w:eastAsia="et-EE" w:bidi="et-EE"/>
        </w:rPr>
      </w:pPr>
    </w:p>
    <w:p w:rsidR="001449F2" w:rsidRDefault="002324A9">
      <w:pPr>
        <w:pStyle w:val="ManualHeading2"/>
        <w:rPr>
          <w:rFonts w:eastAsia="Arial Unicode MS"/>
          <w:noProof/>
          <w:u w:color="000000"/>
          <w:bdr w:val="nil"/>
          <w:lang w:eastAsia="et-EE" w:bidi="et-EE"/>
        </w:rPr>
      </w:pPr>
      <w:r>
        <w:rPr>
          <w:noProof/>
          <w:lang w:eastAsia="et-EE" w:bidi="et-EE"/>
        </w:rPr>
        <w:t>•</w:t>
      </w:r>
      <w:r>
        <w:rPr>
          <w:noProof/>
          <w:lang w:eastAsia="et-EE" w:bidi="et-EE"/>
        </w:rPr>
        <w:tab/>
        <w:t>Kooskõla poliitikavaldkonnas kehtivate sätetega</w:t>
      </w:r>
    </w:p>
    <w:p w:rsidR="001449F2" w:rsidRDefault="002324A9">
      <w:pPr>
        <w:keepNext/>
        <w:tabs>
          <w:tab w:val="left" w:pos="850"/>
        </w:tabs>
        <w:outlineLvl w:val="1"/>
        <w:rPr>
          <w:rFonts w:eastAsia="Times New Roman"/>
          <w:b/>
          <w:noProof/>
          <w:lang w:eastAsia="et-EE" w:bidi="et-EE"/>
        </w:rPr>
      </w:pPr>
      <w:r>
        <w:rPr>
          <w:b/>
          <w:noProof/>
          <w:lang w:eastAsia="et-EE" w:bidi="et-EE"/>
        </w:rPr>
        <w:t>Maksustamise läbipaistvust käsitlev õigusaktide pakett (COM(2015) 136)</w:t>
      </w:r>
    </w:p>
    <w:p w:rsidR="001449F2" w:rsidRDefault="002324A9">
      <w:pPr>
        <w:rPr>
          <w:noProof/>
          <w:lang w:eastAsia="et-EE" w:bidi="et-EE"/>
        </w:rPr>
      </w:pPr>
      <w:r>
        <w:rPr>
          <w:noProof/>
          <w:lang w:eastAsia="et-EE" w:bidi="et-EE"/>
        </w:rPr>
        <w:t>Kõnealune pakett sisaldas kaht peamist elementi: i) ettepanek kehtestada liikmesriikide vahel automaatne teabevahetus maksuotsuste kohta ja ii) teade, et komisjon hindab, kas tuleks kehtestada teatava äriühingute tulumaksu käsitleva teabe avaldamise lisakohustused.</w:t>
      </w:r>
    </w:p>
    <w:p w:rsidR="001449F2" w:rsidRDefault="002324A9">
      <w:pPr>
        <w:rPr>
          <w:noProof/>
          <w:lang w:eastAsia="et-EE" w:bidi="et-EE"/>
        </w:rPr>
      </w:pPr>
      <w:r>
        <w:rPr>
          <w:noProof/>
          <w:lang w:eastAsia="et-EE" w:bidi="et-EE"/>
        </w:rPr>
        <w:t>Käesolev ettepanek ei välista, et komisjon otsustab tulevikus teha ettepaneku kehtestada äriühingutele teabe avaldamise kohustused.</w:t>
      </w:r>
    </w:p>
    <w:p w:rsidR="001449F2" w:rsidRDefault="002324A9">
      <w:pPr>
        <w:rPr>
          <w:b/>
          <w:noProof/>
          <w:lang w:eastAsia="et-EE" w:bidi="et-EE"/>
        </w:rPr>
      </w:pPr>
      <w:r>
        <w:rPr>
          <w:b/>
          <w:noProof/>
          <w:lang w:eastAsia="et-EE" w:bidi="et-EE"/>
        </w:rPr>
        <w:t>Komisjoni tegevuskava õiglasema ettevõtte tulumaksu süsteemi kohta (COM(2015) 302)</w:t>
      </w:r>
    </w:p>
    <w:p w:rsidR="001449F2" w:rsidRDefault="002324A9">
      <w:pPr>
        <w:rPr>
          <w:noProof/>
          <w:lang w:eastAsia="et-EE" w:bidi="et-EE"/>
        </w:rPr>
      </w:pPr>
      <w:r>
        <w:rPr>
          <w:noProof/>
          <w:lang w:eastAsia="et-EE" w:bidi="et-EE"/>
        </w:rPr>
        <w:t>Käesolev ettepanek on kooskõlas maksudest kõrvalehoidumise vastu võitlemise tegevuskavas kirjeldatud ELi algatustega.</w:t>
      </w:r>
    </w:p>
    <w:p w:rsidR="001449F2" w:rsidRDefault="002324A9">
      <w:pPr>
        <w:pStyle w:val="ManualHeading1"/>
        <w:rPr>
          <w:noProof/>
          <w:lang w:eastAsia="et-EE" w:bidi="et-EE"/>
        </w:rPr>
      </w:pPr>
      <w:r>
        <w:rPr>
          <w:noProof/>
          <w:lang w:eastAsia="et-EE" w:bidi="et-EE"/>
        </w:rPr>
        <w:t>2.</w:t>
      </w:r>
      <w:r>
        <w:rPr>
          <w:noProof/>
          <w:lang w:eastAsia="et-EE" w:bidi="et-EE"/>
        </w:rPr>
        <w:tab/>
        <w:t>ÕIGUSLIK ALUS, SUBSIDIAARSUS JA PROPORTSIONAALSUS</w:t>
      </w:r>
    </w:p>
    <w:p w:rsidR="001449F2" w:rsidRDefault="002324A9">
      <w:pPr>
        <w:pStyle w:val="ManualHeading2"/>
        <w:rPr>
          <w:rFonts w:eastAsia="Arial Unicode MS"/>
          <w:noProof/>
          <w:u w:color="000000"/>
          <w:bdr w:val="nil"/>
          <w:lang w:eastAsia="et-EE" w:bidi="et-EE"/>
        </w:rPr>
      </w:pPr>
      <w:r>
        <w:rPr>
          <w:noProof/>
          <w:lang w:eastAsia="et-EE" w:bidi="et-EE"/>
        </w:rPr>
        <w:t>•</w:t>
      </w:r>
      <w:r>
        <w:rPr>
          <w:noProof/>
          <w:lang w:eastAsia="et-EE" w:bidi="et-EE"/>
        </w:rPr>
        <w:tab/>
        <w:t>Õiguslik alus</w:t>
      </w:r>
    </w:p>
    <w:p w:rsidR="001449F2" w:rsidRDefault="002324A9">
      <w:pPr>
        <w:rPr>
          <w:rFonts w:eastAsia="Times New Roman"/>
          <w:noProof/>
          <w:lang w:eastAsia="et-EE" w:bidi="et-EE"/>
        </w:rPr>
      </w:pPr>
      <w:r>
        <w:rPr>
          <w:noProof/>
          <w:lang w:eastAsia="et-EE" w:bidi="et-EE"/>
        </w:rPr>
        <w:t>Ettepanekuga muudetakse direktiivi 2011/16/EL, mida on muudetud direktiiviga 2014/107/EL</w:t>
      </w:r>
      <w:r>
        <w:rPr>
          <w:rStyle w:val="FootnoteReference"/>
          <w:noProof/>
        </w:rPr>
        <w:footnoteReference w:id="4"/>
      </w:r>
      <w:r>
        <w:rPr>
          <w:noProof/>
          <w:lang w:eastAsia="et-EE" w:bidi="et-EE"/>
        </w:rPr>
        <w:t xml:space="preserve"> ja nõukogu direktiiviga EL/2015/2376</w:t>
      </w:r>
      <w:r>
        <w:rPr>
          <w:rStyle w:val="FootnoteReference"/>
          <w:noProof/>
        </w:rPr>
        <w:footnoteReference w:id="5"/>
      </w:r>
      <w:r>
        <w:rPr>
          <w:noProof/>
          <w:lang w:eastAsia="et-EE" w:bidi="et-EE"/>
        </w:rPr>
        <w:t>, kehtestades konkreetse nõude automaatse teabevahetuse kohta riikide lõikes esitatava aruande puhul.</w:t>
      </w:r>
    </w:p>
    <w:p w:rsidR="001449F2" w:rsidRDefault="002324A9">
      <w:pPr>
        <w:rPr>
          <w:rFonts w:eastAsia="Times New Roman"/>
          <w:noProof/>
          <w:lang w:eastAsia="et-EE" w:bidi="et-EE"/>
        </w:rPr>
      </w:pPr>
      <w:r>
        <w:rPr>
          <w:noProof/>
          <w:lang w:eastAsia="et-EE" w:bidi="et-EE"/>
        </w:rPr>
        <w:t>Parandusettepanekud on esitatud ettepaneku artiklis 1. Eelkõige:</w:t>
      </w:r>
    </w:p>
    <w:p w:rsidR="001449F2" w:rsidRDefault="002324A9">
      <w:pPr>
        <w:rPr>
          <w:rFonts w:eastAsia="Times New Roman"/>
          <w:noProof/>
          <w:lang w:eastAsia="et-EE" w:bidi="et-EE"/>
        </w:rPr>
      </w:pPr>
      <w:r>
        <w:rPr>
          <w:noProof/>
          <w:lang w:eastAsia="et-EE" w:bidi="et-EE"/>
        </w:rPr>
        <w:t xml:space="preserve">Artiklit 3 (mõisted) on muudetud. </w:t>
      </w:r>
    </w:p>
    <w:p w:rsidR="001449F2" w:rsidRDefault="002324A9">
      <w:pPr>
        <w:rPr>
          <w:rFonts w:eastAsia="Times New Roman"/>
          <w:noProof/>
          <w:lang w:eastAsia="et-EE" w:bidi="et-EE"/>
        </w:rPr>
      </w:pPr>
      <w:r>
        <w:rPr>
          <w:noProof/>
          <w:lang w:eastAsia="et-EE" w:bidi="et-EE"/>
        </w:rPr>
        <w:t xml:space="preserve">Artikliga 8aa kohustatakse liikmesriike nõudma rahvusvahelistelt kontsernidelt asjakohast teavet (aruanne riikide lõikes) ja vahetama saadud teavet automaatselt teiste asjaomaste liikmesriikidega. </w:t>
      </w:r>
    </w:p>
    <w:p w:rsidR="001449F2" w:rsidRDefault="002324A9">
      <w:pPr>
        <w:rPr>
          <w:rFonts w:eastAsia="Times New Roman"/>
          <w:noProof/>
          <w:lang w:eastAsia="et-EE" w:bidi="et-EE"/>
        </w:rPr>
      </w:pPr>
      <w:r>
        <w:rPr>
          <w:noProof/>
          <w:lang w:eastAsia="et-EE" w:bidi="et-EE"/>
        </w:rPr>
        <w:lastRenderedPageBreak/>
        <w:t>Artikli 20 lõikes 6 osutatakse teabevahetuseks kasutatavale standardvormile ja artikli 21 lõikega 7 nähakse ette praktiline korraldus.</w:t>
      </w:r>
    </w:p>
    <w:p w:rsidR="001449F2" w:rsidRDefault="002324A9">
      <w:pPr>
        <w:rPr>
          <w:rFonts w:eastAsia="Times New Roman"/>
          <w:noProof/>
          <w:lang w:eastAsia="et-EE" w:bidi="et-EE"/>
        </w:rPr>
      </w:pPr>
      <w:r>
        <w:rPr>
          <w:noProof/>
          <w:lang w:eastAsia="et-EE" w:bidi="et-EE"/>
        </w:rPr>
        <w:t>Lisatud on uus artikkel 25a karistuste kohta.</w:t>
      </w:r>
    </w:p>
    <w:p w:rsidR="001449F2" w:rsidRDefault="002324A9">
      <w:pPr>
        <w:rPr>
          <w:rFonts w:eastAsia="Times New Roman"/>
          <w:noProof/>
          <w:lang w:eastAsia="et-EE" w:bidi="et-EE"/>
        </w:rPr>
      </w:pPr>
      <w:r>
        <w:rPr>
          <w:noProof/>
          <w:lang w:eastAsia="et-EE" w:bidi="et-EE"/>
        </w:rPr>
        <w:t xml:space="preserve">Uus lisa, mis sisaldab ettepanekuga seotud mõisteid, rahvusvaheliste kontsernide kohustusi ja teabevahetuse vorme, on samuti lisatud. </w:t>
      </w:r>
    </w:p>
    <w:p w:rsidR="001449F2" w:rsidRDefault="002324A9">
      <w:pPr>
        <w:pStyle w:val="ManualHeading2"/>
        <w:rPr>
          <w:rFonts w:eastAsia="Arial Unicode MS"/>
          <w:noProof/>
          <w:u w:color="000000"/>
          <w:bdr w:val="nil"/>
          <w:lang w:eastAsia="et-EE" w:bidi="et-EE"/>
        </w:rPr>
      </w:pPr>
      <w:r>
        <w:rPr>
          <w:noProof/>
          <w:lang w:eastAsia="et-EE" w:bidi="et-EE"/>
        </w:rPr>
        <w:t>•</w:t>
      </w:r>
      <w:r>
        <w:rPr>
          <w:noProof/>
          <w:lang w:eastAsia="et-EE" w:bidi="et-EE"/>
        </w:rPr>
        <w:tab/>
        <w:t xml:space="preserve">Subsidiaarsus (ei kuulu liidu ainupädevusse) </w:t>
      </w:r>
    </w:p>
    <w:p w:rsidR="001449F2" w:rsidRDefault="002324A9">
      <w:pPr>
        <w:rPr>
          <w:rFonts w:eastAsia="Times New Roman"/>
          <w:noProof/>
          <w:lang w:eastAsia="et-EE" w:bidi="et-EE"/>
        </w:rPr>
      </w:pPr>
      <w:r>
        <w:rPr>
          <w:noProof/>
          <w:lang w:eastAsia="et-EE" w:bidi="et-EE"/>
        </w:rPr>
        <w:t>Kõnealuste muudatuste reguleerimiseseme õiguslik alus on sama, mis direktiivil 2011/16/EL, s.t Euroopa Liidu toimimise lepingu artikkel 115, mille eesmärk on tagada siseturu nõuetekohane toimimine. ELi toimimise lepingu artikliga 115 nähakse ette liikmesriikide selliste õigus- ja haldusnormide ühtlustamine, mis otseselt mõjutavad siseturu loomist või toimimist ja muudavad õigusaktide ühtlustamise vajalikuks.</w:t>
      </w:r>
    </w:p>
    <w:p w:rsidR="001449F2" w:rsidRDefault="002324A9">
      <w:pPr>
        <w:rPr>
          <w:rFonts w:eastAsia="Times New Roman"/>
          <w:noProof/>
          <w:lang w:eastAsia="et-EE" w:bidi="et-EE"/>
        </w:rPr>
      </w:pPr>
      <w:r>
        <w:rPr>
          <w:noProof/>
          <w:lang w:eastAsia="et-EE" w:bidi="et-EE"/>
        </w:rPr>
        <w:t>Selleks et tagada siseturu nõuetekohane toimimine, peab EL tagama ELi ja kolmandate riikide rahvusvaheliste kontsernide ausa konkurentsi ja võrdsed tingimused. Piiriülese tegevuse tõttu on rahvusvahelistel kontsernidel võimalus agressiivseks maksuplaneerimiseks. Seepärast tuleks nii ELi kui ka kolmandate riikide rahvusvaheliste kontsernide suhtes kohaldada aruandluskohustust. Ilma kõnealuse elemendita oleks algatus vähem tõhus, et saavutada siseturu nõuetekohase toimimise eesmärk.</w:t>
      </w:r>
    </w:p>
    <w:p w:rsidR="001449F2" w:rsidRDefault="002324A9">
      <w:pPr>
        <w:rPr>
          <w:rFonts w:eastAsia="Times New Roman"/>
          <w:noProof/>
          <w:lang w:eastAsia="et-EE" w:bidi="et-EE"/>
        </w:rPr>
      </w:pPr>
      <w:r>
        <w:rPr>
          <w:noProof/>
          <w:lang w:eastAsia="et-EE" w:bidi="et-EE"/>
        </w:rPr>
        <w:t>Käesolev ettepanek on kooskõlas ELi toimimise lepingu artikli 5 lõikes 3 sätestatud subsidiaarsuse põhimõttega.</w:t>
      </w:r>
    </w:p>
    <w:p w:rsidR="001449F2" w:rsidRDefault="002324A9">
      <w:pPr>
        <w:rPr>
          <w:rFonts w:eastAsia="Times New Roman"/>
          <w:noProof/>
          <w:lang w:eastAsia="et-EE" w:bidi="et-EE"/>
        </w:rPr>
      </w:pPr>
      <w:r>
        <w:rPr>
          <w:noProof/>
          <w:lang w:eastAsia="et-EE" w:bidi="et-EE"/>
        </w:rPr>
        <w:t>Liikmesriikide juurdepääs aruandlusele riikide lõikes on võimalik tulemuslikult saavutada ainult liidu tasandil võetavate meetmete abil. Eesmärki, mille kohaselt oleks tagatud, et kõik liikmesriigid saavad aruandluse riikide lõikes, ei saa rahuldavalt täita iga liikmesriigi individuaalselt rakendatavate kooskõlastamata meetmete abil. Seega on rohkem kui ühe liikmesriigi maksubaasi mõjutada võivaid maksuotsuseid käsitleva teabe vahetamiseks vaja ühist ja kohustuslikku lähenemisviisi. Tuleks arvesse võtta, et rahvusvaheliste kontsernide puhul, mis tavaliselt tegutsevad erinevates liikmesriikides, on piiriülene element kavandatud meetme lahutamatu osa.</w:t>
      </w:r>
    </w:p>
    <w:p w:rsidR="001449F2" w:rsidRDefault="002324A9">
      <w:pPr>
        <w:pStyle w:val="ManualHeading2"/>
        <w:rPr>
          <w:rFonts w:eastAsia="Arial Unicode MS"/>
          <w:noProof/>
          <w:u w:color="000000"/>
          <w:bdr w:val="nil"/>
          <w:lang w:eastAsia="et-EE" w:bidi="et-EE"/>
        </w:rPr>
      </w:pPr>
      <w:r>
        <w:rPr>
          <w:noProof/>
          <w:lang w:eastAsia="et-EE" w:bidi="et-EE"/>
        </w:rPr>
        <w:t>•</w:t>
      </w:r>
      <w:r>
        <w:rPr>
          <w:noProof/>
          <w:lang w:eastAsia="et-EE" w:bidi="et-EE"/>
        </w:rPr>
        <w:tab/>
        <w:t>Proportsionaalsus</w:t>
      </w:r>
    </w:p>
    <w:p w:rsidR="001449F2" w:rsidRDefault="002324A9">
      <w:pPr>
        <w:rPr>
          <w:rFonts w:eastAsia="Times New Roman"/>
          <w:noProof/>
          <w:lang w:eastAsia="et-EE" w:bidi="et-EE"/>
        </w:rPr>
      </w:pPr>
      <w:r>
        <w:rPr>
          <w:noProof/>
          <w:lang w:eastAsia="et-EE" w:bidi="et-EE"/>
        </w:rPr>
        <w:t xml:space="preserve">Konkreetne poliitilist reageerimist vajav probleem on läbipaistvuse puudumine piiriülese tähtsusega ja olulise aktiivsusega ettevõtlusstruktuuride puhul, millel on negatiivne mõju eelkõige siseturu nõuetekohasele toimimisele. Poliitilised meetmed on piiratud rahvusvaheliste kontsernidega, mis tegutsevad mitmes riigis kas Euroopa Liidu või kolmandate riikide jurisdiktsiooni kohaselt. Seega on käesolev ettepanek kõige proportsionaalsem võimalus täheldatud probleemi lahendamiseks. Samuti põhineb see põhiteabe automaatsel vahetamisel, mis võimaldab igal liikmesriigil, kus äriühing tegutseb, saada vajalikku teavet. Järelikult ei lähe kavandatud muudatused kaugemale sellest, mis on vajalik tõstatatud küsimuste lahendamiseks ning seega ka aluslepingutes püstitatud siseturu nõuetekohase ja tõhusa toimimise eesmärkide saavutamiseks. </w:t>
      </w:r>
    </w:p>
    <w:p w:rsidR="001449F2" w:rsidRDefault="002324A9">
      <w:pPr>
        <w:rPr>
          <w:rFonts w:eastAsia="Times New Roman"/>
          <w:noProof/>
          <w:lang w:eastAsia="et-EE" w:bidi="et-EE"/>
        </w:rPr>
      </w:pPr>
      <w:r>
        <w:rPr>
          <w:noProof/>
          <w:lang w:eastAsia="et-EE" w:bidi="et-EE"/>
        </w:rPr>
        <w:t>Käesolev ettepanek on kooskõlas ELi toimimise lepingu artikli 5 lõikes 4 sätestatud proportsionaalsuse põhimõttega.</w:t>
      </w:r>
    </w:p>
    <w:p w:rsidR="001449F2" w:rsidRDefault="002324A9">
      <w:pPr>
        <w:pStyle w:val="ManualHeading2"/>
        <w:rPr>
          <w:rFonts w:eastAsia="Arial Unicode MS"/>
          <w:noProof/>
          <w:u w:color="000000"/>
          <w:bdr w:val="nil"/>
          <w:lang w:eastAsia="et-EE" w:bidi="et-EE"/>
        </w:rPr>
      </w:pPr>
      <w:r>
        <w:rPr>
          <w:noProof/>
          <w:lang w:eastAsia="et-EE" w:bidi="et-EE"/>
        </w:rPr>
        <w:lastRenderedPageBreak/>
        <w:t>•</w:t>
      </w:r>
      <w:r>
        <w:rPr>
          <w:noProof/>
          <w:lang w:eastAsia="et-EE" w:bidi="et-EE"/>
        </w:rPr>
        <w:tab/>
        <w:t>Vahendi valik</w:t>
      </w:r>
    </w:p>
    <w:p w:rsidR="001449F2" w:rsidRDefault="002324A9">
      <w:pPr>
        <w:rPr>
          <w:rFonts w:eastAsia="Times New Roman"/>
          <w:noProof/>
          <w:lang w:eastAsia="et-EE" w:bidi="et-EE"/>
        </w:rPr>
      </w:pPr>
      <w:r>
        <w:rPr>
          <w:noProof/>
          <w:lang w:eastAsia="et-EE" w:bidi="et-EE"/>
        </w:rPr>
        <w:t xml:space="preserve">Käesoleva ettepanekuga laiendatakse automaatse teabevahetuse kohaldamisala ELis. Nii siseturu toimimise kui ka tõhususe ja efektiivsuse huvides on vajalik ELi algatus: </w:t>
      </w:r>
    </w:p>
    <w:p w:rsidR="001449F2" w:rsidRDefault="002324A9">
      <w:pPr>
        <w:ind w:left="720" w:hanging="720"/>
        <w:rPr>
          <w:rFonts w:eastAsia="Times New Roman"/>
          <w:noProof/>
          <w:lang w:eastAsia="et-EE" w:bidi="et-EE"/>
        </w:rPr>
      </w:pPr>
      <w:r>
        <w:rPr>
          <w:noProof/>
          <w:lang w:eastAsia="et-EE" w:bidi="et-EE"/>
        </w:rPr>
        <w:t>–</w:t>
      </w:r>
      <w:r>
        <w:rPr>
          <w:noProof/>
          <w:lang w:eastAsia="et-EE" w:bidi="et-EE"/>
        </w:rPr>
        <w:tab/>
        <w:t>ELi algatus tagab sidusa, järjepideva ja kõikehõlmava üleliidulise lähenemisviisi automaatsele teabevahetusele kogu siseturul. See tähendaks ühtset lähenemisviisi teabe esitamisele kõigis liikmesriikides, mis tooks kaasa kulude kokkuhoiu nii maksuametite kui ka ettevõtjate jaoks.</w:t>
      </w:r>
    </w:p>
    <w:p w:rsidR="001449F2" w:rsidRDefault="002324A9">
      <w:pPr>
        <w:ind w:left="720" w:hanging="720"/>
        <w:rPr>
          <w:rFonts w:eastAsia="Times New Roman"/>
          <w:noProof/>
          <w:lang w:eastAsia="et-EE" w:bidi="et-EE"/>
        </w:rPr>
      </w:pPr>
      <w:r>
        <w:rPr>
          <w:noProof/>
          <w:lang w:eastAsia="et-EE" w:bidi="et-EE"/>
        </w:rPr>
        <w:t>–</w:t>
      </w:r>
      <w:r>
        <w:rPr>
          <w:noProof/>
          <w:lang w:eastAsia="et-EE" w:bidi="et-EE"/>
        </w:rPr>
        <w:tab/>
        <w:t>ELi õigusakt tagaks ELi maksuametitele ja ettevõtjatele ka kindluse;</w:t>
      </w:r>
    </w:p>
    <w:p w:rsidR="001449F2" w:rsidRDefault="002324A9">
      <w:pPr>
        <w:ind w:left="720" w:hanging="720"/>
        <w:rPr>
          <w:rFonts w:eastAsia="Times New Roman"/>
          <w:noProof/>
          <w:lang w:eastAsia="et-EE" w:bidi="et-EE"/>
        </w:rPr>
      </w:pPr>
      <w:r>
        <w:rPr>
          <w:noProof/>
          <w:lang w:eastAsia="et-EE" w:bidi="et-EE"/>
        </w:rPr>
        <w:t>–</w:t>
      </w:r>
      <w:r>
        <w:rPr>
          <w:noProof/>
          <w:lang w:eastAsia="et-EE" w:bidi="et-EE"/>
        </w:rPr>
        <w:tab/>
        <w:t>ELi õigusakt aitaks kaasa automaatse teabevahetuse rahvusvaheliste standardite väljatöötamisele liikmesriikide lõikes esitatavate aruannete puhul, nagu on arutatud ja kokku lepitud OECDs.</w:t>
      </w:r>
    </w:p>
    <w:p w:rsidR="001449F2" w:rsidRDefault="002324A9">
      <w:pPr>
        <w:ind w:left="720" w:hanging="720"/>
        <w:rPr>
          <w:rFonts w:eastAsia="Times New Roman"/>
          <w:noProof/>
          <w:lang w:eastAsia="et-EE" w:bidi="et-EE"/>
        </w:rPr>
      </w:pPr>
      <w:r>
        <w:rPr>
          <w:noProof/>
          <w:lang w:eastAsia="et-EE" w:bidi="et-EE"/>
        </w:rPr>
        <w:t>–</w:t>
      </w:r>
      <w:r>
        <w:rPr>
          <w:noProof/>
          <w:lang w:eastAsia="et-EE" w:bidi="et-EE"/>
        </w:rPr>
        <w:tab/>
        <w:t>halduskoostöö direktiivil põhinev ELi õigusakt hõlmaks juba kasutuses olevate või väljatöötatavate infotehnoloogialahenduste kasutamist, mis muudab halduskoostöö direktiivi kohase teabe esitamise lihtsamaks. Käesoleva direktiivi alusel vahetavad ELi liikmesriigid spetsiaalse sidekanali kaudu teavet kindlates vormingutes. Neid vorminguid oleks lihtne laiendada, nii et need oleksid kasutatavad ka täiendavate teabekategooriate puhul, mida käesolevas ettepanekus soovitakse kaasata. Kuivõrd liikmesriigid on investeerinud nende vormingute väljaarendamisse märkimisväärsel hulgal aega ja raha, saavutataks sellega mastaabisääst, kui liikmesriigid vahetaksid teavet ka uute tululiikide kohta neidsamu vorminguid kasutades;</w:t>
      </w:r>
    </w:p>
    <w:p w:rsidR="001449F2" w:rsidRDefault="002324A9">
      <w:pPr>
        <w:pStyle w:val="ManualHeading1"/>
        <w:rPr>
          <w:noProof/>
          <w:lang w:eastAsia="et-EE" w:bidi="et-EE"/>
        </w:rPr>
      </w:pPr>
      <w:r>
        <w:rPr>
          <w:noProof/>
          <w:lang w:eastAsia="et-EE" w:bidi="et-EE"/>
        </w:rPr>
        <w:t>3.</w:t>
      </w:r>
      <w:r>
        <w:rPr>
          <w:noProof/>
          <w:lang w:eastAsia="et-EE" w:bidi="et-EE"/>
        </w:rPr>
        <w:tab/>
        <w:t>JÄRELHINDAMISTE TULEMUSED, KONSULTEERIMINE SIDUSRÜHMADEGA JA MÕJUHINNANGUD</w:t>
      </w:r>
    </w:p>
    <w:p w:rsidR="001449F2" w:rsidRDefault="002324A9">
      <w:pPr>
        <w:pStyle w:val="ManualHeading2"/>
        <w:rPr>
          <w:rFonts w:eastAsia="Arial Unicode MS"/>
          <w:noProof/>
          <w:u w:color="000000"/>
          <w:bdr w:val="nil"/>
          <w:lang w:eastAsia="et-EE" w:bidi="et-EE"/>
        </w:rPr>
      </w:pPr>
      <w:r>
        <w:rPr>
          <w:noProof/>
          <w:lang w:eastAsia="et-EE" w:bidi="et-EE"/>
        </w:rPr>
        <w:t>•</w:t>
      </w:r>
      <w:r>
        <w:rPr>
          <w:noProof/>
          <w:lang w:eastAsia="et-EE" w:bidi="et-EE"/>
        </w:rPr>
        <w:tab/>
        <w:t>Konsulteerimine sidusrühmadega</w:t>
      </w:r>
    </w:p>
    <w:p w:rsidR="001449F2" w:rsidRDefault="002324A9">
      <w:pPr>
        <w:keepNext/>
        <w:tabs>
          <w:tab w:val="left" w:pos="850"/>
        </w:tabs>
        <w:outlineLvl w:val="1"/>
        <w:rPr>
          <w:rFonts w:eastAsia="Arial Unicode MS"/>
          <w:b/>
          <w:noProof/>
          <w:u w:color="000000"/>
          <w:bdr w:val="nil"/>
          <w:lang w:eastAsia="et-EE" w:bidi="et-EE"/>
        </w:rPr>
      </w:pPr>
      <w:r>
        <w:rPr>
          <w:b/>
          <w:noProof/>
          <w:lang w:eastAsia="et-EE" w:bidi="et-EE"/>
        </w:rPr>
        <w:t>Konsultatsioonid maksupettuse ja maksudest kõrvalehoidumise vastase tegevuskava (COM (2012) 722), asjakohaste soovituste ja muude foorumite raames</w:t>
      </w:r>
      <w:r>
        <w:rPr>
          <w:noProof/>
          <w:lang w:eastAsia="et-EE" w:bidi="et-EE"/>
        </w:rPr>
        <w:tab/>
      </w:r>
    </w:p>
    <w:p w:rsidR="001449F2" w:rsidRDefault="002324A9">
      <w:pPr>
        <w:rPr>
          <w:rFonts w:eastAsia="Times New Roman"/>
          <w:noProof/>
          <w:lang w:eastAsia="et-EE" w:bidi="et-EE"/>
        </w:rPr>
      </w:pPr>
      <w:r>
        <w:rPr>
          <w:noProof/>
          <w:lang w:eastAsia="et-EE" w:bidi="et-EE"/>
        </w:rPr>
        <w:t>21. mail 2013 võttis Euroopa Parlament vastu resolutsiooni,</w:t>
      </w:r>
      <w:r>
        <w:rPr>
          <w:rStyle w:val="FootnoteReference"/>
          <w:noProof/>
        </w:rPr>
        <w:footnoteReference w:id="6"/>
      </w:r>
      <w:r>
        <w:rPr>
          <w:noProof/>
          <w:lang w:eastAsia="et-EE" w:bidi="et-EE"/>
        </w:rPr>
        <w:t xml:space="preserve"> milles ta tunnustas komisjoni tegevuskava ja soovitusi, kutsus liikmesriike üles kontrollima võetud kohustuste täitmist ja võtma üle tegevuskava ning rõhutas, et EL peaks võtma eestvedaja rolli maksupettuste, maksustamise vältimise ja maksuparadiiside teemalistes üleilmsetes aruteludes ning eelkõige teabevahetuse propageerimisel.</w:t>
      </w:r>
    </w:p>
    <w:p w:rsidR="001449F2" w:rsidRDefault="002324A9">
      <w:pPr>
        <w:rPr>
          <w:rFonts w:eastAsia="Times New Roman"/>
          <w:noProof/>
          <w:lang w:eastAsia="et-EE" w:bidi="et-EE"/>
        </w:rPr>
      </w:pPr>
      <w:r>
        <w:rPr>
          <w:noProof/>
          <w:lang w:eastAsia="et-EE" w:bidi="et-EE"/>
        </w:rPr>
        <w:t>Euroopa Majandus- ja Sotsiaalkomitee võttis oma arvamuse vastu 17. aprillil 2013</w:t>
      </w:r>
      <w:r>
        <w:rPr>
          <w:rStyle w:val="FootnoteReference"/>
          <w:noProof/>
        </w:rPr>
        <w:footnoteReference w:id="7"/>
      </w:r>
      <w:r>
        <w:rPr>
          <w:noProof/>
          <w:lang w:eastAsia="et-EE" w:bidi="et-EE"/>
        </w:rPr>
        <w:t xml:space="preserve">. Komitee kiitis komisjoni tegevuskava heaks ning toetas komisjoni jõupingutusi praktiliste lahenduste otsimisel maksupettuste arvu ja maksudest kõrvalehoidumise juhtude vähendamiseks. </w:t>
      </w:r>
    </w:p>
    <w:p w:rsidR="001449F2" w:rsidRDefault="002324A9">
      <w:pPr>
        <w:rPr>
          <w:rFonts w:eastAsia="Times New Roman"/>
          <w:noProof/>
          <w:lang w:eastAsia="et-EE" w:bidi="et-EE"/>
        </w:rPr>
      </w:pPr>
      <w:r>
        <w:rPr>
          <w:noProof/>
          <w:lang w:eastAsia="et-EE" w:bidi="et-EE"/>
        </w:rPr>
        <w:lastRenderedPageBreak/>
        <w:t>Viimastel aastatel on liikmesriigid teinud käitumisjuhendi töörühmas tööd piiriüleste maksuotsuste ja siirdehindade alase teabevahetuse parandamiseks. Kõnealuse käitumisjuhendi töörühma järeldused on aruannetena korrapäraselt edastatud nõukogule</w:t>
      </w:r>
      <w:r>
        <w:rPr>
          <w:rStyle w:val="FootnoteReference"/>
          <w:noProof/>
        </w:rPr>
        <w:footnoteReference w:id="8"/>
      </w:r>
      <w:r>
        <w:rPr>
          <w:noProof/>
          <w:lang w:eastAsia="et-EE" w:bidi="et-EE"/>
        </w:rPr>
        <w:t xml:space="preserve">. </w:t>
      </w:r>
    </w:p>
    <w:p w:rsidR="001449F2" w:rsidRDefault="002324A9">
      <w:pPr>
        <w:rPr>
          <w:rFonts w:eastAsia="Times New Roman"/>
          <w:noProof/>
          <w:lang w:eastAsia="et-EE" w:bidi="et-EE"/>
        </w:rPr>
      </w:pPr>
      <w:r>
        <w:rPr>
          <w:noProof/>
          <w:lang w:eastAsia="et-EE" w:bidi="et-EE"/>
        </w:rPr>
        <w:t>Enamik liikmesriike on OECD liikmed ning on ajavahemikul 2013–2015 osalenud pikkades ja üksikasjalikes aruteludes BEPSi-vastaste meetmete, sealhulgas nende tehniliste üksikasjade, üle. OECD korraldas ulatuslikud avalikud konsultatsioonid sidusrühmadega iga BEPSi-vastase meetme puhul. Lisaks on komisjon on BEPSiga seotud teemadel pidanud aru majasiseselt ning OECD ekspertidega, eelkõige juhul, kui komisjonil on olnud kahtlusi, kas teatavad ideed ja/või pakutud lahendused on kooskõlas liidu õigusega.</w:t>
      </w:r>
    </w:p>
    <w:p w:rsidR="001449F2" w:rsidRDefault="002324A9">
      <w:pPr>
        <w:rPr>
          <w:rFonts w:eastAsia="Times New Roman"/>
          <w:noProof/>
          <w:lang w:eastAsia="et-EE" w:bidi="et-EE"/>
        </w:rPr>
      </w:pPr>
      <w:r>
        <w:rPr>
          <w:noProof/>
          <w:lang w:eastAsia="et-EE" w:bidi="et-EE"/>
        </w:rPr>
        <w:t>2014. aasta teisel poolel algatas nõukogu eesistujariik Itaalia „ELi BEPSi tegevuskava” idee ja soodustas kooskõla paralleelsete OECD algatustega, järgides samas ELi õigust. Seda lähenemisviisi toetasid maksuküsimuste kõrgetasemeline töörühm ja järgmised eesistujariigid. Arutelud BEPSi tegevuskava üle jätkusid ka 2015. aastal. Eesmärk oli aidata kaasa OECD arutelule ja sillutada teed OECD soovituste sujuvaks rakendamiseks tulevikus, võttes arvesse ELi eripärasid.</w:t>
      </w:r>
    </w:p>
    <w:p w:rsidR="001449F2" w:rsidRDefault="002324A9">
      <w:pPr>
        <w:rPr>
          <w:rFonts w:eastAsia="Times New Roman"/>
          <w:noProof/>
          <w:lang w:eastAsia="et-EE" w:bidi="et-EE"/>
        </w:rPr>
      </w:pPr>
      <w:r>
        <w:rPr>
          <w:noProof/>
          <w:lang w:eastAsia="et-EE" w:bidi="et-EE"/>
        </w:rPr>
        <w:t>Komisjoni avalik arutelu maksustamise läbipaistvuse üle andis sidusrühmadele võimaluse kommenteerida ettevõtete läbipaistvuse eri aspekte, eelkõige seoses aruandlusega riikide lõikes. Esitatud võimalused keskendusid peamiselt ettevõtjate avalikule aruandlusele, kuid hõlmasid ka maksuametite vahelist teabevahetust, nagu on nõutud BEPSi 13. meetmega. Komisjon sai kokku 422 vastust, millest enamik andis kasulikku tagasisidet kas avaliku või erasektori maksude läbipaistvusmeetmete kohta. BEPSi 13. meetmega oli enamik vastanutest nõus, kuigi ettevõtjad ei pooldanud seda, et maksuhaldurid kõnealust teavet vahetavad.</w:t>
      </w:r>
    </w:p>
    <w:p w:rsidR="001449F2" w:rsidRDefault="001449F2">
      <w:pPr>
        <w:rPr>
          <w:rFonts w:eastAsia="Times New Roman"/>
          <w:noProof/>
          <w:lang w:eastAsia="et-EE" w:bidi="et-EE"/>
        </w:rPr>
      </w:pPr>
    </w:p>
    <w:p w:rsidR="001449F2" w:rsidRDefault="002324A9">
      <w:pPr>
        <w:keepNext/>
        <w:tabs>
          <w:tab w:val="left" w:pos="850"/>
        </w:tabs>
        <w:outlineLvl w:val="1"/>
        <w:rPr>
          <w:rFonts w:eastAsia="Times New Roman"/>
          <w:b/>
          <w:noProof/>
          <w:lang w:eastAsia="et-EE" w:bidi="et-EE"/>
        </w:rPr>
      </w:pPr>
      <w:r>
        <w:rPr>
          <w:b/>
          <w:noProof/>
          <w:lang w:eastAsia="et-EE" w:bidi="et-EE"/>
        </w:rPr>
        <w:t>Liikmesriigid</w:t>
      </w:r>
    </w:p>
    <w:p w:rsidR="001449F2" w:rsidRDefault="002324A9">
      <w:pPr>
        <w:pBdr>
          <w:top w:val="nil"/>
          <w:left w:val="nil"/>
          <w:bottom w:val="nil"/>
          <w:right w:val="nil"/>
          <w:between w:val="nil"/>
          <w:bar w:val="nil"/>
        </w:pBdr>
        <w:spacing w:before="0" w:after="240"/>
        <w:rPr>
          <w:rFonts w:eastAsia="Arial Unicode MS"/>
          <w:noProof/>
          <w:lang w:eastAsia="et-EE" w:bidi="et-EE"/>
        </w:rPr>
      </w:pPr>
      <w:r>
        <w:rPr>
          <w:noProof/>
          <w:lang w:eastAsia="et-EE" w:bidi="et-EE"/>
        </w:rPr>
        <w:t xml:space="preserve">Käesolev direktiiv on kooskõlas OECD tasandi rahvusvaheliste arengusuundumustega ning OECDs maksubaasi kahanemise ja kasumi ümberpaigutamise projekti raames tehtava tööga, milles osaleb enamik liikmesriike. Euroopa Komisjon on olnud samuti tihedalt seotud ning muude jurisdiktsioonide ja sidusrühmadega on laialdaselt konsulteeritud. </w:t>
      </w:r>
    </w:p>
    <w:p w:rsidR="001449F2" w:rsidRDefault="002324A9">
      <w:pPr>
        <w:pStyle w:val="ManualHeading2"/>
        <w:rPr>
          <w:rFonts w:eastAsia="Arial Unicode MS"/>
          <w:noProof/>
          <w:u w:color="000000"/>
          <w:bdr w:val="nil"/>
          <w:lang w:eastAsia="et-EE" w:bidi="et-EE"/>
        </w:rPr>
      </w:pPr>
      <w:r>
        <w:rPr>
          <w:noProof/>
          <w:lang w:eastAsia="et-EE" w:bidi="et-EE"/>
        </w:rPr>
        <w:t>•</w:t>
      </w:r>
      <w:r>
        <w:rPr>
          <w:noProof/>
          <w:lang w:eastAsia="et-EE" w:bidi="et-EE"/>
        </w:rPr>
        <w:tab/>
        <w:t>Mõjuhinnang</w:t>
      </w:r>
    </w:p>
    <w:p w:rsidR="001449F2" w:rsidRDefault="002324A9">
      <w:pPr>
        <w:rPr>
          <w:rFonts w:eastAsia="Arial Unicode MS"/>
          <w:noProof/>
          <w:lang w:eastAsia="et-EE" w:bidi="et-EE"/>
        </w:rPr>
      </w:pPr>
      <w:r>
        <w:rPr>
          <w:noProof/>
          <w:lang w:eastAsia="et-EE" w:bidi="et-EE"/>
        </w:rPr>
        <w:t>BEPSi aruande avaldamise järel 2013. aasta alguses ja pärast seda, kui nn BEPSi tegevuskava kiitsid 2013. aasta septembris heaks ka G20 juhid, käivitas OECD kaheaastase intensiivse tööperioodi, mis päädis 13 aruande avaldamisega 2015. aasta novembris Nende aruannetega kehtestatakse uued või tugevdatud rahvusvahelised standardid ning konkreetsed meetmed, et aidata riikidel BEPSi vastu võidelda. Selles raamistikus on OECD/G20 liikmed pühendunud kõnealusele paketile ning selle järjepidevale rakendamisele.</w:t>
      </w:r>
    </w:p>
    <w:p w:rsidR="001449F2" w:rsidRDefault="002324A9">
      <w:pPr>
        <w:rPr>
          <w:rFonts w:eastAsia="Arial Unicode MS"/>
          <w:noProof/>
          <w:lang w:eastAsia="et-EE" w:bidi="et-EE"/>
        </w:rPr>
      </w:pPr>
      <w:r>
        <w:rPr>
          <w:noProof/>
          <w:lang w:eastAsia="et-EE" w:bidi="et-EE"/>
        </w:rPr>
        <w:t xml:space="preserve">Mitmed liikmesriigid on OECD liikmena soovinud võtta BEPSi projekti meetmed üle siseriiklikesse õigusaktidesse ning mõnes piirkonnas on seda soovitud teha väga kiiresti. Sellest tulenevalt on vaja kiirelt kokku leppida eeskirjad, et koordineerida BEPSi järelduste rakendamist ELis. Arvestades siseturu killustumise suurt ohtu, mis võib tuleneda liikmesriikide ühepoolsetest koordineerimata meetmetest, esitab komisjon käesolevas </w:t>
      </w:r>
      <w:r>
        <w:rPr>
          <w:noProof/>
          <w:lang w:eastAsia="et-EE" w:bidi="et-EE"/>
        </w:rPr>
        <w:lastRenderedPageBreak/>
        <w:t>ettepanekus lahendused, et saavutada teatav ühtsus BEPSi 13. meetme rakendamisel kogu ELis.</w:t>
      </w:r>
    </w:p>
    <w:p w:rsidR="001449F2" w:rsidRDefault="002324A9">
      <w:pPr>
        <w:rPr>
          <w:rFonts w:eastAsia="Arial Unicode MS"/>
          <w:noProof/>
          <w:lang w:eastAsia="et-EE" w:bidi="et-EE"/>
        </w:rPr>
      </w:pPr>
      <w:r>
        <w:rPr>
          <w:noProof/>
          <w:lang w:eastAsia="et-EE" w:bidi="et-EE"/>
        </w:rPr>
        <w:t>Komisjon on teinud kõik võimaliku, et samaaegselt nii kiiresti tegutseda kui ka vältida seda, et siseturu toimimine on ohustatud, kas omal algatusel tegutsevate liikmesriikide (olenemata sellest, kas nad on OECD liikmed või mitte) võetud ühepoolsete meetmete tõttu, või tegutsematuse tõttu teistes liikmesriikides. Kaaluti ka pehme õiguse võimalust, kuid see jäeti kõrvale, sest see pole piisav kooskõlastatud lähenemisviisi tagamiseks.</w:t>
      </w:r>
    </w:p>
    <w:p w:rsidR="001449F2" w:rsidRDefault="002324A9">
      <w:pPr>
        <w:rPr>
          <w:rFonts w:eastAsia="Arial Unicode MS"/>
          <w:noProof/>
          <w:lang w:eastAsia="et-EE" w:bidi="et-EE"/>
        </w:rPr>
      </w:pPr>
      <w:r>
        <w:rPr>
          <w:noProof/>
          <w:lang w:eastAsia="et-EE" w:bidi="et-EE"/>
        </w:rPr>
        <w:t>Ettepanekule lisatud komisjoni talituste töödokumendis on ajakohase analüüsi ja tõendite esitamise eesmärgil antud põhjalik ülevaade olemasolevatest teadustöödest ja majanduslikest tõenditest maksubaasi õõnestamise ja kasumi ümberpaigutamise valdkonnas. See põhineb hiljutistel uuringutel, mille on läbi viinud OECD, Euroopa Komisjon ja Euroopa Parlament. Komisjoni talituste töödokumendis on välja toodud peamised mehhanismid, mis OECD aruannete kohaselt on seotud agressiivse maksuplaneerimisega. Dokumendis on kokku võetud agressiivse maksuplaneerimise oluliste mehhanismide põhjalik läbivaatamine iga riigi kohta tehtud analüüsi põhjal, mis viidi komisjoni nimel läbi 2015. aastal. Komisjoni talituste töödokumendis antakse ülevaade, kuidas BEPSi-vastase 13. meetme rakendamine täiendab muude OECD asjaomaste aruannete rakendamist ELis ning aitab kaasa ühtse minimaalse kaitse taseme saavutamisele maksudest kõrvalehoidumise puhul.</w:t>
      </w:r>
    </w:p>
    <w:p w:rsidR="001449F2" w:rsidRDefault="002324A9">
      <w:pPr>
        <w:rPr>
          <w:rFonts w:eastAsia="Arial Unicode MS"/>
          <w:noProof/>
          <w:lang w:eastAsia="et-EE" w:bidi="et-EE"/>
        </w:rPr>
      </w:pPr>
      <w:r>
        <w:rPr>
          <w:noProof/>
          <w:lang w:eastAsia="et-EE" w:bidi="et-EE"/>
        </w:rPr>
        <w:t>Seetõttu ei ole käesoleva ettepaneku puhul mõjuhinnangut läbi viidud järgmistel põhjustel: on olemas selge seos OECD tehtud tööga BEPSi küsimuses, eelkõige selle 13. meetmega; komisjoni talituste töödokumendis on esitatud märkimisväärselt tõendeid ja analüüs; konsultatsioonid sidusrühmadega kavandatavate eeskirjade tehniliste elementide olid eelmises etapis ulatuslikud; ning eelkõige on vaja ELi kiiret kooskõlastatud tegevust selles küsimuses, mis on rahvusvaheline poliitiline prioriteet.</w:t>
      </w:r>
    </w:p>
    <w:p w:rsidR="001449F2" w:rsidRDefault="002324A9">
      <w:pPr>
        <w:pStyle w:val="ManualHeading1"/>
        <w:rPr>
          <w:noProof/>
          <w:lang w:eastAsia="et-EE" w:bidi="et-EE"/>
        </w:rPr>
      </w:pPr>
      <w:r>
        <w:rPr>
          <w:noProof/>
          <w:lang w:eastAsia="et-EE" w:bidi="et-EE"/>
        </w:rPr>
        <w:t>4.</w:t>
      </w:r>
      <w:r>
        <w:rPr>
          <w:noProof/>
          <w:lang w:eastAsia="et-EE" w:bidi="et-EE"/>
        </w:rPr>
        <w:tab/>
        <w:t>MÕJU EELARVELE</w:t>
      </w:r>
    </w:p>
    <w:p w:rsidR="001449F2" w:rsidRDefault="002324A9">
      <w:pPr>
        <w:rPr>
          <w:rFonts w:eastAsia="Times New Roman"/>
          <w:noProof/>
          <w:lang w:eastAsia="et-EE" w:bidi="et-EE"/>
        </w:rPr>
      </w:pPr>
      <w:r>
        <w:rPr>
          <w:noProof/>
          <w:lang w:eastAsia="et-EE" w:bidi="et-EE"/>
        </w:rPr>
        <w:t>Ettepaneku mõju ELi eelarvele on kajastatud ettepanekule lisatud finantsselgituses ja vastavad kulud on võimalik katta olemasolevatest vahenditest. Kulud, mis on seotud täiendavate IT-vahenditega teabe esitamise hõlbustamiseks liikmesriikide vahel, rahastataks määruses (EL) nr 1286/2013 sätestatud programmist „Fiscalis 2020”, millega nähakse ette rahaline toetus ELi maksuhaldurite vahelise halduskoostöö parandamise meetmetele.</w:t>
      </w:r>
    </w:p>
    <w:p w:rsidR="001449F2" w:rsidRDefault="001449F2">
      <w:pPr>
        <w:rPr>
          <w:rFonts w:eastAsia="Times New Roman"/>
          <w:noProof/>
          <w:lang w:eastAsia="et-EE" w:bidi="et-EE"/>
        </w:rPr>
      </w:pPr>
    </w:p>
    <w:p w:rsidR="001449F2" w:rsidRDefault="001449F2">
      <w:pPr>
        <w:spacing w:before="0" w:after="0"/>
        <w:jc w:val="left"/>
        <w:rPr>
          <w:noProof/>
          <w:lang w:eastAsia="et-EE" w:bidi="et-EE"/>
        </w:rPr>
        <w:sectPr w:rsidR="001449F2" w:rsidSect="002324A9">
          <w:footerReference w:type="default" r:id="rId22"/>
          <w:footerReference w:type="first" r:id="rId23"/>
          <w:pgSz w:w="11907" w:h="16839"/>
          <w:pgMar w:top="1134" w:right="1417" w:bottom="1134" w:left="1417" w:header="709" w:footer="709" w:gutter="0"/>
          <w:cols w:space="708"/>
          <w:docGrid w:linePitch="360"/>
        </w:sectPr>
      </w:pPr>
    </w:p>
    <w:p w:rsidR="001449F2" w:rsidRDefault="002324A9" w:rsidP="002324A9">
      <w:pPr>
        <w:pStyle w:val="Rfrenceinterinstitutionnelle"/>
        <w:rPr>
          <w:noProof/>
          <w:lang w:eastAsia="et-EE" w:bidi="et-EE"/>
        </w:rPr>
      </w:pPr>
      <w:r w:rsidRPr="002324A9">
        <w:lastRenderedPageBreak/>
        <w:t>2016/0010 (CNS)</w:t>
      </w:r>
    </w:p>
    <w:p w:rsidR="001449F2" w:rsidRDefault="002324A9" w:rsidP="002324A9">
      <w:pPr>
        <w:pStyle w:val="Statut"/>
        <w:rPr>
          <w:noProof/>
          <w:lang w:eastAsia="et-EE" w:bidi="et-EE"/>
        </w:rPr>
      </w:pPr>
      <w:r w:rsidRPr="002324A9">
        <w:t>Ettepanek:</w:t>
      </w:r>
    </w:p>
    <w:p w:rsidR="001449F2" w:rsidRDefault="002324A9" w:rsidP="002324A9">
      <w:pPr>
        <w:pStyle w:val="Typedudocument"/>
        <w:rPr>
          <w:noProof/>
          <w:lang w:eastAsia="et-EE" w:bidi="et-EE"/>
        </w:rPr>
      </w:pPr>
      <w:r w:rsidRPr="002324A9">
        <w:t>NÕUKOGU DIREKTIIV,</w:t>
      </w:r>
    </w:p>
    <w:p w:rsidR="001449F2" w:rsidRDefault="002324A9" w:rsidP="002324A9">
      <w:pPr>
        <w:pStyle w:val="Titreobjet"/>
        <w:rPr>
          <w:noProof/>
          <w:lang w:eastAsia="et-EE" w:bidi="et-EE"/>
        </w:rPr>
      </w:pPr>
      <w:r w:rsidRPr="002324A9">
        <w:t>millega muudetakse direktiivi 2011/16/EL seoses kohustusliku automaatse teabevahetusega maksustamise valdkonnas</w:t>
      </w:r>
    </w:p>
    <w:p w:rsidR="001449F2" w:rsidRDefault="002324A9">
      <w:pPr>
        <w:pStyle w:val="Institutionquiagit"/>
        <w:rPr>
          <w:noProof/>
          <w:lang w:eastAsia="et-EE" w:bidi="et-EE"/>
        </w:rPr>
      </w:pPr>
      <w:r>
        <w:rPr>
          <w:noProof/>
          <w:lang w:eastAsia="et-EE" w:bidi="et-EE"/>
        </w:rPr>
        <w:t>EUROOPA LIIDU NÕUKOGU,</w:t>
      </w:r>
    </w:p>
    <w:p w:rsidR="001449F2" w:rsidRDefault="002324A9">
      <w:pPr>
        <w:rPr>
          <w:noProof/>
          <w:lang w:eastAsia="et-EE" w:bidi="et-EE"/>
        </w:rPr>
      </w:pPr>
      <w:r>
        <w:rPr>
          <w:noProof/>
          <w:lang w:eastAsia="et-EE" w:bidi="et-EE"/>
        </w:rPr>
        <w:t>võttes arvesse Euroopa Liidu toimimise lepingut, eriti selle artikleid 113 ja 115,</w:t>
      </w:r>
    </w:p>
    <w:p w:rsidR="001449F2" w:rsidRDefault="002324A9">
      <w:pPr>
        <w:rPr>
          <w:noProof/>
          <w:lang w:eastAsia="et-EE" w:bidi="et-EE"/>
        </w:rPr>
      </w:pPr>
      <w:r>
        <w:rPr>
          <w:noProof/>
          <w:lang w:eastAsia="et-EE" w:bidi="et-EE"/>
        </w:rPr>
        <w:t>võttes arvesse Euroopa Komisjoni ettepanekut,</w:t>
      </w:r>
    </w:p>
    <w:p w:rsidR="001449F2" w:rsidRDefault="002324A9">
      <w:pPr>
        <w:rPr>
          <w:noProof/>
          <w:lang w:eastAsia="et-EE" w:bidi="et-EE"/>
        </w:rPr>
      </w:pPr>
      <w:r>
        <w:rPr>
          <w:noProof/>
          <w:lang w:eastAsia="et-EE" w:bidi="et-EE"/>
        </w:rPr>
        <w:t>olles edastanud seadusandliku akti eelnõu liikmesriikide parlamentidele,</w:t>
      </w:r>
    </w:p>
    <w:p w:rsidR="001449F2" w:rsidRDefault="002324A9">
      <w:pPr>
        <w:rPr>
          <w:noProof/>
          <w:lang w:eastAsia="et-EE" w:bidi="et-EE"/>
        </w:rPr>
      </w:pPr>
      <w:r>
        <w:rPr>
          <w:noProof/>
          <w:lang w:eastAsia="et-EE" w:bidi="et-EE"/>
        </w:rPr>
        <w:t>võttes arvesse Euroopa Parlamendi arvamust</w:t>
      </w:r>
      <w:r>
        <w:rPr>
          <w:rStyle w:val="FootnoteReference"/>
          <w:noProof/>
        </w:rPr>
        <w:footnoteReference w:id="9"/>
      </w:r>
      <w:r>
        <w:rPr>
          <w:noProof/>
          <w:lang w:eastAsia="et-EE" w:bidi="et-EE"/>
        </w:rPr>
        <w:t>,</w:t>
      </w:r>
    </w:p>
    <w:p w:rsidR="001449F2" w:rsidRDefault="002324A9">
      <w:pPr>
        <w:rPr>
          <w:noProof/>
          <w:lang w:eastAsia="et-EE" w:bidi="et-EE"/>
        </w:rPr>
      </w:pPr>
      <w:r>
        <w:rPr>
          <w:noProof/>
          <w:lang w:eastAsia="et-EE" w:bidi="et-EE"/>
        </w:rPr>
        <w:t>võttes arvesse Euroopa Majandus- ja Sotsiaalkomitee arvamust</w:t>
      </w:r>
      <w:r>
        <w:rPr>
          <w:rStyle w:val="FootnoteReference"/>
          <w:noProof/>
        </w:rPr>
        <w:footnoteReference w:id="10"/>
      </w:r>
      <w:r>
        <w:rPr>
          <w:noProof/>
          <w:lang w:eastAsia="et-EE" w:bidi="et-EE"/>
        </w:rPr>
        <w:t>,</w:t>
      </w:r>
    </w:p>
    <w:p w:rsidR="001449F2" w:rsidRDefault="002324A9">
      <w:pPr>
        <w:rPr>
          <w:noProof/>
          <w:lang w:eastAsia="et-EE" w:bidi="et-EE"/>
        </w:rPr>
      </w:pPr>
      <w:r>
        <w:rPr>
          <w:noProof/>
          <w:lang w:eastAsia="et-EE" w:bidi="et-EE"/>
        </w:rPr>
        <w:t>toimides seadusandliku erimenetluse kohaselt</w:t>
      </w:r>
    </w:p>
    <w:p w:rsidR="001449F2" w:rsidRDefault="002324A9">
      <w:pPr>
        <w:rPr>
          <w:noProof/>
          <w:lang w:eastAsia="et-EE" w:bidi="et-EE"/>
        </w:rPr>
      </w:pPr>
      <w:r>
        <w:rPr>
          <w:noProof/>
          <w:lang w:eastAsia="et-EE" w:bidi="et-EE"/>
        </w:rPr>
        <w:t>ning arvestades järgmist:</w:t>
      </w:r>
      <w:r>
        <w:rPr>
          <w:i/>
          <w:noProof/>
          <w:lang w:eastAsia="et-EE" w:bidi="et-EE"/>
        </w:rPr>
        <w:t xml:space="preserve"> </w:t>
      </w:r>
    </w:p>
    <w:p w:rsidR="001449F2" w:rsidRDefault="002324A9">
      <w:pPr>
        <w:pStyle w:val="ManualConsidrant"/>
        <w:rPr>
          <w:noProof/>
          <w:lang w:eastAsia="et-EE" w:bidi="et-EE"/>
        </w:rPr>
      </w:pPr>
      <w:r>
        <w:rPr>
          <w:noProof/>
        </w:rPr>
        <w:t>(1)</w:t>
      </w:r>
      <w:r>
        <w:rPr>
          <w:noProof/>
        </w:rPr>
        <w:tab/>
      </w:r>
      <w:r>
        <w:rPr>
          <w:noProof/>
          <w:lang w:eastAsia="et-EE" w:bidi="et-EE"/>
        </w:rPr>
        <w:t>Viimastel aastatel on maksupettuste ja maksudest kõrvalehoidumisega seotud probleemide hulk märgatavalt suurenenud ning see on muutunud suureks mureküsimuseks nii liidus kui ka üleilmsel tasandil. Automaatne teabevahetus on selles valdkonnas oluline töövahend ning oma 6. detsembri 2012. aasta teatises, mis sisaldas maksupettuste ja maksudest kõrvalehoidumise vastase võitluse tõhustamise tegevuskava, rõhutas komisjon vajadust edendada jõuliselt automaatset teabevahetust kui tulevast Euroopa ja rahvusvahelist standardit maksudealase läbipaistvuse ja maksudealase teabe vahetamise alal. 22. mail 2013 väljendas Euroopa Ülemkogu oma järeldustes soovi, et automaatset teabevahetust laiendataks nii liidu kui ka rahvusvahelisel tasandil, pidades silmas maksupettuste, maksudest kõrvalehoidumise ja agressiivse maksuplaneerimise vastast võitlust.</w:t>
      </w:r>
    </w:p>
    <w:p w:rsidR="001449F2" w:rsidRDefault="002324A9">
      <w:pPr>
        <w:pStyle w:val="ManualConsidrant"/>
        <w:rPr>
          <w:noProof/>
          <w:lang w:eastAsia="et-EE" w:bidi="et-EE"/>
        </w:rPr>
      </w:pPr>
      <w:r>
        <w:rPr>
          <w:noProof/>
        </w:rPr>
        <w:t>(2)</w:t>
      </w:r>
      <w:r>
        <w:rPr>
          <w:noProof/>
        </w:rPr>
        <w:tab/>
      </w:r>
      <w:r>
        <w:rPr>
          <w:noProof/>
          <w:lang w:eastAsia="et-EE" w:bidi="et-EE"/>
        </w:rPr>
        <w:t>Kuna rahvusvahelised kontsernid tegutsevad mitmes riigis, on neil võimalus tegelda agressiivse maksuplaneerimisega, mis ei ole võimalik siseriiklike äriühingute jaoks. Kui rahvusvahelised kontsernid sellega tegelevad, siis kõige rohkem on mõjutatud täielikult kodumaised äriühingud, tavaliselt väikesed ja keskmise suurusega ettevõtjad (VKEd), kuna nende maksukoormus on kõrgem kui rahvusvahelistel kontsernidel. Teisalt võib väheneda kõikide liikmesriikide maksutulu ning on oht, et tekib konkurents rahvusvaheliste kontsernide meelitamiseks, pakkudes neile täiendavaid maksusoodustusi. Seetõttu tekib probleem siseturu nõuetekohase toimimisega.</w:t>
      </w:r>
    </w:p>
    <w:p w:rsidR="001449F2" w:rsidRDefault="002324A9">
      <w:pPr>
        <w:pStyle w:val="ManualConsidrant"/>
        <w:rPr>
          <w:noProof/>
          <w:lang w:eastAsia="et-EE" w:bidi="et-EE"/>
        </w:rPr>
      </w:pPr>
      <w:r>
        <w:rPr>
          <w:noProof/>
        </w:rPr>
        <w:lastRenderedPageBreak/>
        <w:t>(3)</w:t>
      </w:r>
      <w:r>
        <w:rPr>
          <w:noProof/>
        </w:rPr>
        <w:tab/>
      </w:r>
      <w:r>
        <w:rPr>
          <w:noProof/>
          <w:lang w:eastAsia="et-EE" w:bidi="et-EE"/>
        </w:rPr>
        <w:t>Liidu maksuhaldurid vajavad põhjalikku ja asjakohast teavet rahvusvaheliste kontsernide struktuuri, siirdehindade poliitika ja tehtud sisetehingute kohta nii ELis kui ka väljaspool ELi. See teave võimaldab maksuhalduril reageerida kahjulikele maksutavadele, tehes muutusi õigusaktides või asjakohaseid riskihinnanguid ja maksuauditeid, ning teha kindlaks, kas ettevõtted on kasutanud võtteid, millega on märkimisväärne osa tulust kunstlikult ümber suunatud maksusoodsamasse keskkonda.</w:t>
      </w:r>
    </w:p>
    <w:p w:rsidR="001449F2" w:rsidRDefault="002324A9">
      <w:pPr>
        <w:pStyle w:val="ManualConsidrant"/>
        <w:rPr>
          <w:noProof/>
          <w:lang w:eastAsia="et-EE" w:bidi="et-EE"/>
        </w:rPr>
      </w:pPr>
      <w:r>
        <w:rPr>
          <w:noProof/>
        </w:rPr>
        <w:t>(4)</w:t>
      </w:r>
      <w:r>
        <w:rPr>
          <w:noProof/>
        </w:rPr>
        <w:tab/>
      </w:r>
      <w:r>
        <w:rPr>
          <w:noProof/>
          <w:lang w:eastAsia="et-EE" w:bidi="et-EE"/>
        </w:rPr>
        <w:t>Suurem läbipaistvus maksuhaldurite suhtes võiks motiveerida rahvusvahelisi kontserne ka teatavatest võtetest loobuma ning kandma kasumi saamise riigis õiglast maksukoormat. Rahvusvaheliste kontsernide läbipaistvuse suurendamisel on seega oluline osa maksubaasi kahanemise ja kasumi ümberpaigutamise vastases võitluses.</w:t>
      </w:r>
    </w:p>
    <w:p w:rsidR="001449F2" w:rsidRDefault="002324A9">
      <w:pPr>
        <w:pStyle w:val="ManualConsidrant"/>
        <w:rPr>
          <w:noProof/>
          <w:lang w:eastAsia="et-EE" w:bidi="et-EE"/>
        </w:rPr>
      </w:pPr>
      <w:r>
        <w:rPr>
          <w:noProof/>
        </w:rPr>
        <w:t>(5)</w:t>
      </w:r>
      <w:r>
        <w:rPr>
          <w:noProof/>
        </w:rPr>
        <w:tab/>
      </w:r>
      <w:r>
        <w:rPr>
          <w:noProof/>
          <w:lang w:eastAsia="et-EE" w:bidi="et-EE"/>
        </w:rPr>
        <w:t xml:space="preserve">Nõukogu ja nõukogu raames kokku tulnud liikmesriikide valitsuste esindajate resolutsioonis ELis asuvate sidusettevõtete siirdehindade dokumenteerimist (EU TPD) käsitleva tegevusjuhendi kohta on juba sätestatud liidus tegutsevate ELi rahvusvaheliste kontsernide jaoks meetod teabe esitamiseks maksuhalduritele ülemaailmse äritegevuse ja siirdehindade poliitika kohta (põhitoimik) ja teabe esitamiseks kohaliku üksuse konkreetsete tehingute kohta (kohalik toimik). Siiski ei paku EU TPD praegu mingit mehhanismi aruande esitamiseks riikide lõikes. </w:t>
      </w:r>
    </w:p>
    <w:p w:rsidR="001449F2" w:rsidRDefault="002324A9">
      <w:pPr>
        <w:pStyle w:val="ManualConsidrant"/>
        <w:rPr>
          <w:noProof/>
          <w:lang w:eastAsia="et-EE" w:bidi="et-EE"/>
        </w:rPr>
      </w:pPr>
      <w:r>
        <w:rPr>
          <w:noProof/>
        </w:rPr>
        <w:t>(6)</w:t>
      </w:r>
      <w:r>
        <w:rPr>
          <w:noProof/>
        </w:rPr>
        <w:tab/>
      </w:r>
      <w:r>
        <w:rPr>
          <w:noProof/>
          <w:lang w:eastAsia="et-EE" w:bidi="et-EE"/>
        </w:rPr>
        <w:t>Riikide lõikes esitatavas aruandes peaksid rahvusvahelised kontsernid esitama igal aastal ja iga maksujurisdiktsiooni kohta, kus nad äri ajavad, tulude summa, kasumi enne tulumaksu ning makstud ja kogunenud tulumaksu. Samuti peaksid rahvusvahelised kontsernid teatama oma töötajate arvu, deklareeritud kapitali, jaotamata kasumi ja materiaalse vara igas maksujurisdiktsioonis. Rahvusvaheline kontsern peaks määrama kindlaks iga kontserni kuuluva üksuse, kes teeb äri konkreetses maksujurisdiktsioonis, ning osutama äritegevusele, millega iga üksus tegeleb.</w:t>
      </w:r>
    </w:p>
    <w:p w:rsidR="001449F2" w:rsidRDefault="002324A9">
      <w:pPr>
        <w:pStyle w:val="ManualConsidrant"/>
        <w:rPr>
          <w:rFonts w:eastAsia="Times New Roman"/>
          <w:noProof/>
          <w:lang w:eastAsia="et-EE" w:bidi="et-EE"/>
        </w:rPr>
      </w:pPr>
      <w:r>
        <w:rPr>
          <w:noProof/>
        </w:rPr>
        <w:t>(7)</w:t>
      </w:r>
      <w:r>
        <w:rPr>
          <w:noProof/>
        </w:rPr>
        <w:tab/>
      </w:r>
      <w:r>
        <w:rPr>
          <w:noProof/>
          <w:lang w:eastAsia="et-EE" w:bidi="et-EE"/>
        </w:rPr>
        <w:t>Selleks et edendada riiklike vahendite tõhusat kasutamist ja vähendada rahvusvaheliste kontsernide halduskoormust, peaks aruandluskohustus kehtima ainult selliste rahvusvaheliste kontsernide puhul, kelle konsolideeritud kontserni tulu ületab teatava summa. Käesoleva direktiiviga tuleks tagada, et kogutakse sama teave ning see tehakse maksuametitele õigeaegselt kättesaadavaks kogu ELis.</w:t>
      </w:r>
    </w:p>
    <w:p w:rsidR="001449F2" w:rsidRDefault="002324A9">
      <w:pPr>
        <w:pStyle w:val="ManualConsidrant"/>
        <w:rPr>
          <w:noProof/>
          <w:lang w:eastAsia="et-EE" w:bidi="et-EE"/>
        </w:rPr>
      </w:pPr>
      <w:r>
        <w:rPr>
          <w:noProof/>
        </w:rPr>
        <w:t>(8)</w:t>
      </w:r>
      <w:r>
        <w:rPr>
          <w:noProof/>
        </w:rPr>
        <w:tab/>
      </w:r>
      <w:r>
        <w:rPr>
          <w:noProof/>
          <w:lang w:eastAsia="et-EE" w:bidi="et-EE"/>
        </w:rPr>
        <w:t>Siseturu nõuetekohase toimimise tagamiseks peab EL kindlustama õiglase konkurentsi nii ELi kui ka kolmandate riikide rahvusvaheliste kontsernide jaoks, mille üks või mitu üksust asuvad ELis. Seetõttu peavad aruandluskohustusele alluma mõlemad.</w:t>
      </w:r>
    </w:p>
    <w:p w:rsidR="001449F2" w:rsidRDefault="002324A9">
      <w:pPr>
        <w:pStyle w:val="ManualConsidrant"/>
        <w:rPr>
          <w:noProof/>
          <w:lang w:eastAsia="et-EE" w:bidi="et-EE"/>
        </w:rPr>
      </w:pPr>
      <w:r>
        <w:rPr>
          <w:noProof/>
        </w:rPr>
        <w:t>(9)</w:t>
      </w:r>
      <w:r>
        <w:rPr>
          <w:noProof/>
        </w:rPr>
        <w:tab/>
      </w:r>
      <w:r>
        <w:rPr>
          <w:noProof/>
          <w:lang w:eastAsia="et-EE" w:bidi="et-EE"/>
        </w:rPr>
        <w:t>Liikmesriigid peaksid sätestama eeskirjad karistuste kohta, mida kohaldatakse käesoleva direktiivi alusel vastuvõetud siseriiklike õigusnormide rikkumise korral, ning tagama, et kõnealused karistused oleksid tõhusad, proportsionaalsed ja hoiatavad ning neid ka rakendatakse.</w:t>
      </w:r>
    </w:p>
    <w:p w:rsidR="001449F2" w:rsidRDefault="002324A9">
      <w:pPr>
        <w:pStyle w:val="ManualConsidrant"/>
        <w:rPr>
          <w:noProof/>
          <w:lang w:eastAsia="et-EE" w:bidi="et-EE"/>
        </w:rPr>
      </w:pPr>
      <w:r>
        <w:rPr>
          <w:noProof/>
        </w:rPr>
        <w:t>(10)</w:t>
      </w:r>
      <w:r>
        <w:rPr>
          <w:noProof/>
        </w:rPr>
        <w:tab/>
      </w:r>
      <w:r>
        <w:rPr>
          <w:noProof/>
          <w:lang w:eastAsia="et-EE" w:bidi="et-EE"/>
        </w:rPr>
        <w:t>Siseturu nõuetekohaseks toimimiseks on vaja tagada, et liikmesriigid võtavad vastu kooskõlastatud eeskirjad seoses rahvusvaheliste kontsernide läbipaistvuskohustustega.</w:t>
      </w:r>
    </w:p>
    <w:p w:rsidR="001449F2" w:rsidRDefault="002324A9">
      <w:pPr>
        <w:pStyle w:val="ManualConsidrant"/>
        <w:rPr>
          <w:rFonts w:eastAsia="Times New Roman"/>
          <w:noProof/>
          <w:lang w:eastAsia="et-EE" w:bidi="et-EE"/>
        </w:rPr>
      </w:pPr>
      <w:r>
        <w:rPr>
          <w:noProof/>
        </w:rPr>
        <w:t>(11)</w:t>
      </w:r>
      <w:r>
        <w:rPr>
          <w:noProof/>
        </w:rPr>
        <w:tab/>
      </w:r>
      <w:r>
        <w:rPr>
          <w:noProof/>
          <w:lang w:eastAsia="et-EE" w:bidi="et-EE"/>
        </w:rPr>
        <w:t xml:space="preserve">Liikmesriikide vahelise teabevahetuse puhul on nõukogu 15. veebruari 2011. aasta direktiivis 2011/16/EL (maksustamisalase halduskoostöö kohta ja direktiivi 77/799/EMÜ kehtetuks tunnistamise kohta) juba sätestatud kohustuslik automaatne teabevahetus mitmes valdkonnas. Selle kohaldamisala tuleks laiendada, et kehtestada </w:t>
      </w:r>
      <w:r>
        <w:rPr>
          <w:noProof/>
          <w:lang w:eastAsia="et-EE" w:bidi="et-EE"/>
        </w:rPr>
        <w:lastRenderedPageBreak/>
        <w:t>kohustuslik automaatne teabevahetus liikmesriikide vahel ka liikmesriikide lõikes esitatavate aruannete puhul.</w:t>
      </w:r>
    </w:p>
    <w:p w:rsidR="001449F2" w:rsidRDefault="002324A9">
      <w:pPr>
        <w:pStyle w:val="ManualConsidrant"/>
        <w:rPr>
          <w:noProof/>
          <w:lang w:eastAsia="et-EE" w:bidi="et-EE"/>
        </w:rPr>
      </w:pPr>
      <w:r>
        <w:rPr>
          <w:noProof/>
        </w:rPr>
        <w:t>(12)</w:t>
      </w:r>
      <w:r>
        <w:rPr>
          <w:noProof/>
        </w:rPr>
        <w:tab/>
      </w:r>
      <w:r>
        <w:rPr>
          <w:noProof/>
          <w:lang w:eastAsia="et-EE" w:bidi="et-EE"/>
        </w:rPr>
        <w:t>Liikmesriikide lõikes esitatavate aruannete kohustuslik jagamine liikmesriikide vahel peaks igal juhul sisaldama teatava konkreetse teabe edastamist, mis oleks kättesaadav liikmesriikidele, mille kohta on kõnealuses aruandes sisalduva teabe alusel teada, et ettevõtja üks või mitu üksust on liikmesriigi maksuresidendid või maksukohustuslased seoses püsiva tegevuskoha kaudu tehtava äriga.</w:t>
      </w:r>
    </w:p>
    <w:p w:rsidR="001449F2" w:rsidRDefault="002324A9">
      <w:pPr>
        <w:pStyle w:val="ManualConsidrant"/>
        <w:rPr>
          <w:noProof/>
          <w:lang w:eastAsia="et-EE" w:bidi="et-EE"/>
        </w:rPr>
      </w:pPr>
      <w:r>
        <w:rPr>
          <w:noProof/>
        </w:rPr>
        <w:t>(13)</w:t>
      </w:r>
      <w:r>
        <w:rPr>
          <w:noProof/>
        </w:rPr>
        <w:tab/>
      </w:r>
      <w:r>
        <w:rPr>
          <w:noProof/>
          <w:lang w:eastAsia="et-EE" w:bidi="et-EE"/>
        </w:rPr>
        <w:t>Selleks et vähendada nii maksuametite kui ka rahvusvaheliste kontsernide kulusid ja halduskoormust, on vaja ette näha eeskirjad, mis oleksid kooskõlas rahvusvaheliste suundumustega ning aitaksid kaasa nende rakendamisele. 19. juulil 2013 avaldas Majanduskoostöö ja Arengu Organisatsioon (OECD) maksubaasi kahanemise ja kasumi ümberpaigutamise tegevuskava, mis on oluline algatus kehtivate rahvusvaheliste eeskirjade muutmiseks. 5. oktoobril 2015 esitas OECD oma lõpparuanded, mille kiitsid heaks G20 rahandusministrid. 15.–16. novembril 2015 toimunud kohtumisel kiitsid OECD paketi heaks ka G20 juhid.</w:t>
      </w:r>
    </w:p>
    <w:p w:rsidR="001449F2" w:rsidRDefault="002324A9">
      <w:pPr>
        <w:pStyle w:val="ManualConsidrant"/>
        <w:rPr>
          <w:noProof/>
          <w:lang w:eastAsia="et-EE" w:bidi="et-EE"/>
        </w:rPr>
      </w:pPr>
      <w:r>
        <w:rPr>
          <w:noProof/>
        </w:rPr>
        <w:t>(14)</w:t>
      </w:r>
      <w:r>
        <w:rPr>
          <w:noProof/>
        </w:rPr>
        <w:tab/>
      </w:r>
      <w:r>
        <w:rPr>
          <w:noProof/>
          <w:lang w:eastAsia="et-EE" w:bidi="et-EE"/>
        </w:rPr>
        <w:t>Maksubaasi kahanemise ja kasumi ümberpaigutamise tegevuskava 13. meetme raames töötati välja standardite kogum teabe andmiseks rahvusvaheliste kontsernide kohta, sealhulgas põhitoimik, kohalik toimik ja aruanne riikide lõikes. Seepärast on eeskirjade koostamisel riikide lõikes esitatavate aruannete kohta asjakohane võtta arvesse OECD standardeid.</w:t>
      </w:r>
    </w:p>
    <w:p w:rsidR="001449F2" w:rsidRDefault="002324A9">
      <w:pPr>
        <w:pStyle w:val="ManualConsidrant"/>
        <w:rPr>
          <w:noProof/>
          <w:lang w:eastAsia="et-EE" w:bidi="et-EE"/>
        </w:rPr>
      </w:pPr>
      <w:r>
        <w:rPr>
          <w:noProof/>
        </w:rPr>
        <w:t>(15)</w:t>
      </w:r>
      <w:r>
        <w:rPr>
          <w:noProof/>
        </w:rPr>
        <w:tab/>
      </w:r>
      <w:r>
        <w:rPr>
          <w:noProof/>
          <w:lang w:eastAsia="et-EE" w:bidi="et-EE"/>
        </w:rPr>
        <w:t xml:space="preserve">Liidu meetmete puhul riikide lõikes aruandluse valdkonnas tuleks eelkõige arvesse võtta tulevasi arenguid OECD tasandil. Käesoleva direktiivi rakendamisel peaksid liikmesriigid kasutama ka 2015. aasta lõpparuannet OECD/G20 maksubaasi õõnestamise ja kasumi ümberpaigutamise projekti 13. meetme kohta, mille on välja töötatud OECD, kui käesoleva direktiivi kirjelduste või tõlgenduste allikat, tagamaks ühetaoline kohaldamine kõikides liikmesriikides. </w:t>
      </w:r>
    </w:p>
    <w:p w:rsidR="001449F2" w:rsidRDefault="002324A9">
      <w:pPr>
        <w:pStyle w:val="ManualConsidrant"/>
        <w:rPr>
          <w:noProof/>
          <w:lang w:eastAsia="et-EE" w:bidi="et-EE"/>
        </w:rPr>
      </w:pPr>
      <w:r>
        <w:rPr>
          <w:noProof/>
        </w:rPr>
        <w:t>(16)</w:t>
      </w:r>
      <w:r>
        <w:rPr>
          <w:noProof/>
        </w:rPr>
        <w:tab/>
      </w:r>
      <w:r>
        <w:rPr>
          <w:noProof/>
          <w:lang w:eastAsia="et-EE" w:bidi="et-EE"/>
        </w:rPr>
        <w:t>On vaja täpsustada liikmesriikidevahelise teabevahetuse keelelisi nõudeid riikide lõikes esitatava aruandluse puhul. Samuti on vaja võtta vastu praktiline korraldus CCN võrgu ajakohastamiseks. Selleks et tagada artikli 20 lõike 6 ja artikli 21 lõike 7 ühetaolised rakendamistingimused, tuleks komisjonile anda rakendamisvolitused. Neid volitusi tuleks teostada kooskõlas Euroopa Parlamendi ja nõukogu määrusega (EL) nr 182/2011.</w:t>
      </w:r>
    </w:p>
    <w:p w:rsidR="001449F2" w:rsidRDefault="002324A9">
      <w:pPr>
        <w:pStyle w:val="ManualConsidrant"/>
        <w:rPr>
          <w:noProof/>
          <w:lang w:eastAsia="et-EE" w:bidi="et-EE"/>
        </w:rPr>
      </w:pPr>
      <w:r>
        <w:rPr>
          <w:noProof/>
        </w:rPr>
        <w:t>(17)</w:t>
      </w:r>
      <w:r>
        <w:rPr>
          <w:noProof/>
        </w:rPr>
        <w:tab/>
      </w:r>
      <w:r>
        <w:rPr>
          <w:noProof/>
          <w:lang w:eastAsia="et-EE" w:bidi="et-EE"/>
        </w:rPr>
        <w:t>Selleks et tõhustada ressursside kasutamist, soodustada teabevahetust ja vältida, et kõikidel liikmesriikidel on vaja teha sarnaseid kohandusi, peab teabevahetus toimuma liidu loodud ühise teabevõrgu (CCN) kaudu. Komisjon peaks võtma vastu süsteemi uuendamiseks vajaliku praktilise korralduse kooskõlas direktiivi 2011/16/EL artikli 26 lõikes 2 osutatud menetlusega.</w:t>
      </w:r>
    </w:p>
    <w:p w:rsidR="001449F2" w:rsidRDefault="002324A9">
      <w:pPr>
        <w:pStyle w:val="ManualConsidrant"/>
        <w:rPr>
          <w:rFonts w:eastAsia="Times New Roman"/>
          <w:noProof/>
          <w:lang w:eastAsia="et-EE" w:bidi="et-EE"/>
        </w:rPr>
      </w:pPr>
      <w:r>
        <w:rPr>
          <w:noProof/>
        </w:rPr>
        <w:t>(18)</w:t>
      </w:r>
      <w:r>
        <w:rPr>
          <w:noProof/>
        </w:rPr>
        <w:tab/>
      </w:r>
      <w:r>
        <w:rPr>
          <w:noProof/>
          <w:lang w:eastAsia="et-EE" w:bidi="et-EE"/>
        </w:rPr>
        <w:t>Kohustusliku teabevahetuse kohaldamisala tuleks seega laiendada, hõlmates automaatse teabevahetuse riikide lõikes esitatava aruandluse puhul.</w:t>
      </w:r>
    </w:p>
    <w:p w:rsidR="001449F2" w:rsidRDefault="002324A9">
      <w:pPr>
        <w:pStyle w:val="ManualConsidrant"/>
        <w:rPr>
          <w:noProof/>
          <w:lang w:eastAsia="et-EE" w:bidi="et-EE"/>
        </w:rPr>
      </w:pPr>
      <w:r>
        <w:rPr>
          <w:noProof/>
        </w:rPr>
        <w:t>(19)</w:t>
      </w:r>
      <w:r>
        <w:rPr>
          <w:noProof/>
        </w:rPr>
        <w:tab/>
      </w:r>
      <w:r>
        <w:rPr>
          <w:noProof/>
          <w:lang w:eastAsia="et-EE" w:bidi="et-EE"/>
        </w:rPr>
        <w:t>Käesoleva direktiiviga austatakse põhiõigusi ja järgitakse põhimõtteid, mis on eelkõige tunnustatud Euroopa Liidu põhiõiguste hartas.</w:t>
      </w:r>
      <w:r>
        <w:rPr>
          <w:rFonts w:eastAsiaTheme="majorEastAsia"/>
          <w:bCs/>
          <w:i/>
          <w:noProof/>
          <w:lang w:eastAsia="et-EE" w:bidi="et-EE"/>
        </w:rPr>
        <w:t xml:space="preserve"> </w:t>
      </w:r>
    </w:p>
    <w:p w:rsidR="001449F2" w:rsidRDefault="002324A9">
      <w:pPr>
        <w:pStyle w:val="ManualConsidrant"/>
        <w:rPr>
          <w:noProof/>
          <w:lang w:eastAsia="et-EE" w:bidi="et-EE"/>
        </w:rPr>
      </w:pPr>
      <w:r>
        <w:rPr>
          <w:noProof/>
        </w:rPr>
        <w:t>(20)</w:t>
      </w:r>
      <w:r>
        <w:rPr>
          <w:noProof/>
        </w:rPr>
        <w:tab/>
      </w:r>
      <w:r>
        <w:rPr>
          <w:noProof/>
          <w:lang w:eastAsia="et-EE" w:bidi="et-EE"/>
        </w:rPr>
        <w:t xml:space="preserve">Kuna käesoleva direktiivi eesmärki, nimelt tõhus liikmesriikidevaheline halduskoostöö siseturu nõuetekohase toimimisega kooskõlas olevatel tingimustel, ei suuda </w:t>
      </w:r>
      <w:r>
        <w:rPr>
          <w:noProof/>
          <w:lang w:eastAsia="et-EE" w:bidi="et-EE"/>
        </w:rPr>
        <w:lastRenderedPageBreak/>
        <w:t>liikmesriigid piisavalt saavutada, küll aga saab seda nõutava ühetaolisuse ja tõhususe tõttu paremini saavutada liidu tasandil, võib liit võtta meetmeid kooskõlas Euroopa Liidu lepingu artiklis 5 sätestatud subsidiaarsuse põhimõttega. Kõnealuses artiklis sätestatud proportsionaalsuse põhimõtte kohaselt ei lähe käesolev direktiiv nimetatud eesmärgi saavutamiseks vajalikust kaugemale.</w:t>
      </w:r>
    </w:p>
    <w:p w:rsidR="001449F2" w:rsidRDefault="002324A9">
      <w:pPr>
        <w:pStyle w:val="ManualConsidrant"/>
        <w:rPr>
          <w:rFonts w:eastAsia="Times New Roman"/>
          <w:noProof/>
          <w:lang w:eastAsia="et-EE" w:bidi="et-EE"/>
        </w:rPr>
      </w:pPr>
      <w:r>
        <w:rPr>
          <w:noProof/>
        </w:rPr>
        <w:t>(21)</w:t>
      </w:r>
      <w:r>
        <w:rPr>
          <w:noProof/>
        </w:rPr>
        <w:tab/>
      </w:r>
      <w:r>
        <w:rPr>
          <w:rFonts w:eastAsiaTheme="majorEastAsia"/>
          <w:bCs/>
          <w:i/>
          <w:noProof/>
          <w:lang w:eastAsia="et-EE" w:bidi="et-EE"/>
        </w:rPr>
        <w:t xml:space="preserve"> </w:t>
      </w:r>
      <w:r>
        <w:rPr>
          <w:noProof/>
          <w:lang w:eastAsia="et-EE" w:bidi="et-EE"/>
        </w:rPr>
        <w:t>Seepärast tuleks direktiivi 2011/16/EL vastavalt muuta,</w:t>
      </w:r>
    </w:p>
    <w:p w:rsidR="001449F2" w:rsidRDefault="002324A9">
      <w:pPr>
        <w:pStyle w:val="Formuledadoption"/>
        <w:rPr>
          <w:noProof/>
          <w:lang w:eastAsia="et-EE" w:bidi="et-EE"/>
        </w:rPr>
      </w:pPr>
      <w:r>
        <w:rPr>
          <w:noProof/>
          <w:lang w:eastAsia="et-EE" w:bidi="et-EE"/>
        </w:rPr>
        <w:t>ON VASTU VÕTNUD KÄESOLEVA DIREKTIIVI:</w:t>
      </w:r>
    </w:p>
    <w:p w:rsidR="001449F2" w:rsidRDefault="002324A9">
      <w:pPr>
        <w:pStyle w:val="Titrearticle"/>
        <w:rPr>
          <w:noProof/>
          <w:lang w:eastAsia="et-EE" w:bidi="et-EE"/>
        </w:rPr>
      </w:pPr>
      <w:r>
        <w:rPr>
          <w:noProof/>
          <w:lang w:eastAsia="et-EE" w:bidi="et-EE"/>
        </w:rPr>
        <w:t>Artikkel 1</w:t>
      </w:r>
    </w:p>
    <w:p w:rsidR="001449F2" w:rsidRDefault="002324A9">
      <w:pPr>
        <w:rPr>
          <w:rFonts w:eastAsia="Times New Roman"/>
          <w:noProof/>
          <w:lang w:eastAsia="et-EE" w:bidi="et-EE"/>
        </w:rPr>
      </w:pPr>
      <w:r>
        <w:rPr>
          <w:noProof/>
          <w:lang w:eastAsia="et-EE" w:bidi="et-EE"/>
        </w:rPr>
        <w:t>Direktiivi 2011/16/EL muudetakse järgmiselt.</w:t>
      </w:r>
    </w:p>
    <w:p w:rsidR="001449F2" w:rsidRDefault="002324A9">
      <w:pPr>
        <w:rPr>
          <w:rFonts w:eastAsia="Times New Roman"/>
          <w:noProof/>
          <w:lang w:eastAsia="et-EE" w:bidi="et-EE"/>
        </w:rPr>
      </w:pPr>
      <w:r>
        <w:rPr>
          <w:noProof/>
          <w:lang w:eastAsia="et-EE" w:bidi="et-EE"/>
        </w:rPr>
        <w:t>1)</w:t>
      </w:r>
      <w:r>
        <w:rPr>
          <w:noProof/>
          <w:lang w:eastAsia="et-EE" w:bidi="et-EE"/>
        </w:rPr>
        <w:tab/>
        <w:t xml:space="preserve">Artiklit 3 muudetakse järgmiselt: </w:t>
      </w:r>
    </w:p>
    <w:p w:rsidR="001449F2" w:rsidRDefault="002324A9">
      <w:pPr>
        <w:pStyle w:val="Point0letter"/>
        <w:numPr>
          <w:ilvl w:val="1"/>
          <w:numId w:val="14"/>
        </w:numPr>
        <w:rPr>
          <w:noProof/>
          <w:lang w:eastAsia="et-EE" w:bidi="et-EE"/>
        </w:rPr>
      </w:pPr>
      <w:r>
        <w:rPr>
          <w:noProof/>
          <w:lang w:eastAsia="et-EE" w:bidi="et-EE"/>
        </w:rPr>
        <w:t>punkt 9 asendatakse järgmisega:</w:t>
      </w:r>
    </w:p>
    <w:p w:rsidR="001449F2" w:rsidRDefault="002324A9">
      <w:pPr>
        <w:rPr>
          <w:rFonts w:eastAsia="Times New Roman"/>
          <w:noProof/>
          <w:lang w:eastAsia="et-EE" w:bidi="et-EE"/>
        </w:rPr>
      </w:pPr>
      <w:r>
        <w:rPr>
          <w:noProof/>
          <w:lang w:eastAsia="et-EE" w:bidi="et-EE"/>
        </w:rPr>
        <w:t>9. „automaatne teabevahetus” –</w:t>
      </w:r>
    </w:p>
    <w:p w:rsidR="001449F2" w:rsidRDefault="002324A9">
      <w:pPr>
        <w:rPr>
          <w:rFonts w:eastAsia="Times New Roman"/>
          <w:noProof/>
          <w:lang w:eastAsia="et-EE" w:bidi="et-EE"/>
        </w:rPr>
      </w:pPr>
      <w:r>
        <w:rPr>
          <w:noProof/>
          <w:lang w:eastAsia="et-EE" w:bidi="et-EE"/>
        </w:rPr>
        <w:t>a) artikli 8 lõike 1 ning artikli 8a ja artikli 8aa kohaldamisel eelnevalt määratletud teabe korrapärane edastamine varem kindlaksmääratud korrapäraste ajavahemike tagant teisele liikmesriigile ilma tema eelneva taotluseta. Artikli 8 lõike 1 kohaldamisel on viide kättesaadavale teabele seotud teavet edastava liikmesriigi maksutoimikus oleva teabega, mis on kättesaadav vastavalt kõnealuses liikmesriigis teabe kogumist ja töötlemist käsitlevatele menetlustele.</w:t>
      </w:r>
    </w:p>
    <w:p w:rsidR="001449F2" w:rsidRDefault="002324A9">
      <w:pPr>
        <w:rPr>
          <w:rFonts w:eastAsia="Times New Roman"/>
          <w:noProof/>
          <w:lang w:eastAsia="et-EE" w:bidi="et-EE"/>
        </w:rPr>
      </w:pPr>
      <w:r>
        <w:rPr>
          <w:noProof/>
          <w:lang w:eastAsia="et-EE" w:bidi="et-EE"/>
        </w:rPr>
        <w:t xml:space="preserve">b) artikli 8 lõike 3a kohaldamisel teiste liikmesriikide residente käsitleva eelnevalt määratletud teabe korrapärane edastamine eelnevalt kindlaksmääratud korrapäraste ajavahemike tagant asjaomasele asukohaliikmesriigile ilma tema eelneva taotluseta. </w:t>
      </w:r>
    </w:p>
    <w:p w:rsidR="001449F2" w:rsidRDefault="002324A9">
      <w:pPr>
        <w:rPr>
          <w:rFonts w:eastAsia="Times New Roman"/>
          <w:noProof/>
          <w:lang w:eastAsia="et-EE" w:bidi="et-EE"/>
        </w:rPr>
      </w:pPr>
      <w:r>
        <w:rPr>
          <w:noProof/>
          <w:lang w:eastAsia="et-EE" w:bidi="et-EE"/>
        </w:rPr>
        <w:t>c) kõikide käesoleva direktiivi sätete (välja arvatud artikli 8 lõiked 1 ja 3a ning artikkel 8a ja artikkel 8aa kohaldamisel käesoleva punkti alapunktide a ja b sätestatud eelnevalt määratletud teabe korrapärane edastamine.”</w:t>
      </w:r>
    </w:p>
    <w:p w:rsidR="001449F2" w:rsidRDefault="001449F2">
      <w:pPr>
        <w:rPr>
          <w:rFonts w:eastAsia="Times New Roman"/>
          <w:noProof/>
          <w:lang w:eastAsia="et-EE" w:bidi="et-EE"/>
        </w:rPr>
      </w:pPr>
    </w:p>
    <w:p w:rsidR="001449F2" w:rsidRDefault="002324A9">
      <w:pPr>
        <w:pStyle w:val="Point0letter"/>
        <w:rPr>
          <w:noProof/>
          <w:lang w:eastAsia="et-EE" w:bidi="et-EE"/>
        </w:rPr>
      </w:pPr>
      <w:r>
        <w:rPr>
          <w:noProof/>
          <w:lang w:eastAsia="et-EE" w:bidi="et-EE"/>
        </w:rPr>
        <w:t>lisatakse teine lõik järgmises sõnastuses:</w:t>
      </w:r>
    </w:p>
    <w:p w:rsidR="001449F2" w:rsidRDefault="002324A9">
      <w:pPr>
        <w:rPr>
          <w:rFonts w:eastAsia="Times New Roman"/>
          <w:noProof/>
          <w:lang w:eastAsia="et-EE" w:bidi="et-EE"/>
        </w:rPr>
      </w:pPr>
      <w:r>
        <w:rPr>
          <w:noProof/>
          <w:lang w:eastAsia="et-EE" w:bidi="et-EE"/>
        </w:rPr>
        <w:t>Artikli 8 lõigete 3a ja 7a, artikli 21 lõike 2 ning artikli 25 lõigete 2 ja 3 kontekstis on mõistetel I lisas vastava määratluse kohta esitatud tähendus. Artikli 8aa ja III lisa kontekstis on mõistetel III lisas vastava määratluse kohta esitatud tähendus.”</w:t>
      </w:r>
    </w:p>
    <w:p w:rsidR="001449F2" w:rsidRDefault="001449F2">
      <w:pPr>
        <w:rPr>
          <w:rFonts w:eastAsia="Times New Roman"/>
          <w:noProof/>
          <w:lang w:eastAsia="et-EE" w:bidi="et-EE"/>
        </w:rPr>
      </w:pPr>
    </w:p>
    <w:p w:rsidR="001449F2" w:rsidRDefault="002324A9">
      <w:pPr>
        <w:ind w:left="720" w:hanging="720"/>
        <w:rPr>
          <w:rFonts w:eastAsia="Times New Roman"/>
          <w:noProof/>
          <w:lang w:eastAsia="et-EE" w:bidi="et-EE"/>
        </w:rPr>
      </w:pPr>
      <w:r>
        <w:rPr>
          <w:noProof/>
          <w:lang w:eastAsia="et-EE" w:bidi="et-EE"/>
        </w:rPr>
        <w:t>2)</w:t>
      </w:r>
      <w:r>
        <w:rPr>
          <w:noProof/>
          <w:lang w:eastAsia="et-EE" w:bidi="et-EE"/>
        </w:rPr>
        <w:tab/>
        <w:t xml:space="preserve">II peatüki 2. jaole lisatakse artikkel 8aa: </w:t>
      </w:r>
    </w:p>
    <w:p w:rsidR="001449F2" w:rsidRDefault="002324A9">
      <w:pPr>
        <w:ind w:left="720" w:hanging="720"/>
        <w:jc w:val="center"/>
        <w:rPr>
          <w:rFonts w:eastAsia="Times New Roman"/>
          <w:i/>
          <w:noProof/>
          <w:lang w:eastAsia="et-EE" w:bidi="et-EE"/>
        </w:rPr>
      </w:pPr>
      <w:r>
        <w:rPr>
          <w:i/>
          <w:noProof/>
          <w:lang w:eastAsia="et-EE" w:bidi="et-EE"/>
        </w:rPr>
        <w:t>„Artikkel 8aa</w:t>
      </w:r>
    </w:p>
    <w:p w:rsidR="001449F2" w:rsidRDefault="002324A9">
      <w:pPr>
        <w:ind w:left="720" w:hanging="720"/>
        <w:jc w:val="center"/>
        <w:rPr>
          <w:rFonts w:eastAsia="Times New Roman"/>
          <w:noProof/>
          <w:lang w:eastAsia="et-EE" w:bidi="et-EE"/>
        </w:rPr>
      </w:pPr>
      <w:r>
        <w:rPr>
          <w:b/>
          <w:noProof/>
          <w:lang w:eastAsia="et-EE" w:bidi="et-EE"/>
        </w:rPr>
        <w:t>Kohustusliku automaatse teabevahetuse kohaldamisala ja tingimused riikide lõikes esitatavate aruannete puhul</w:t>
      </w:r>
    </w:p>
    <w:p w:rsidR="001449F2" w:rsidRDefault="002324A9">
      <w:pPr>
        <w:ind w:left="720" w:hanging="720"/>
        <w:rPr>
          <w:rFonts w:eastAsia="Times New Roman"/>
          <w:b/>
          <w:noProof/>
          <w:lang w:eastAsia="et-EE" w:bidi="et-EE"/>
        </w:rPr>
      </w:pPr>
      <w:r>
        <w:rPr>
          <w:b/>
          <w:noProof/>
          <w:lang w:eastAsia="et-EE" w:bidi="et-EE"/>
        </w:rPr>
        <w:lastRenderedPageBreak/>
        <w:t xml:space="preserve"> </w:t>
      </w:r>
    </w:p>
    <w:p w:rsidR="001449F2" w:rsidRDefault="002324A9">
      <w:pPr>
        <w:ind w:left="720" w:hanging="720"/>
        <w:rPr>
          <w:rFonts w:eastAsia="Times New Roman"/>
          <w:noProof/>
          <w:lang w:eastAsia="et-EE" w:bidi="et-EE"/>
        </w:rPr>
      </w:pPr>
      <w:r>
        <w:rPr>
          <w:noProof/>
          <w:lang w:eastAsia="et-EE" w:bidi="et-EE"/>
        </w:rPr>
        <w:t>1.</w:t>
      </w:r>
      <w:r>
        <w:rPr>
          <w:noProof/>
          <w:lang w:eastAsia="et-EE" w:bidi="et-EE"/>
        </w:rPr>
        <w:tab/>
        <w:t>Iga liikmesriik võtab vajalikud meetmed, et nõuda rahvusvahelise kontserni lõplikult emaettevõtjalt, kes on maksuresident tema territooriumil, või mis tahes muult aruandvalt üksuselt kooskõlas III lisa II jaoga, et majandusaasta kohta esitataks aruanne riikide lõikes 12 kuu jooksul pärast rahvusvahelise kontserni aruandlusaasta viimast päeva kooskõlas III lisa II jaoga.</w:t>
      </w:r>
    </w:p>
    <w:p w:rsidR="001449F2" w:rsidRDefault="002324A9">
      <w:pPr>
        <w:ind w:left="720" w:hanging="720"/>
        <w:rPr>
          <w:rFonts w:eastAsia="Times New Roman"/>
          <w:noProof/>
          <w:lang w:eastAsia="et-EE" w:bidi="et-EE"/>
        </w:rPr>
      </w:pPr>
      <w:r>
        <w:rPr>
          <w:noProof/>
          <w:lang w:eastAsia="et-EE" w:bidi="et-EE"/>
        </w:rPr>
        <w:t>2.</w:t>
      </w:r>
      <w:r>
        <w:rPr>
          <w:noProof/>
          <w:lang w:eastAsia="et-EE" w:bidi="et-EE"/>
        </w:rPr>
        <w:tab/>
        <w:t xml:space="preserve">Selle liikmesriigi pädev asutus, kus riikide lõikes esitatud aruanne saadi vastavalt lõikele 1, edastab aruande automaatse teabevahetuse teel mis tahes muule liikmesriigile, mille kohta on kõnealuses aruandes sisalduva teabe alusel teada, et aruandva üksuse rahvusvahelise kontserni üks või mitu koosseisu kuuluvat üksust on liikmesriigi maksuresidendid või maksukohustuslased seoses püsiva tegevuskoha kaudu toimuva äritegevusega, lõikes 4 sätestatud tähtajaks. </w:t>
      </w:r>
    </w:p>
    <w:p w:rsidR="001449F2" w:rsidRDefault="002324A9">
      <w:pPr>
        <w:ind w:left="720" w:hanging="720"/>
        <w:rPr>
          <w:rFonts w:eastAsia="Times New Roman"/>
          <w:noProof/>
          <w:lang w:eastAsia="et-EE" w:bidi="et-EE"/>
        </w:rPr>
      </w:pPr>
      <w:r>
        <w:rPr>
          <w:noProof/>
          <w:lang w:eastAsia="et-EE" w:bidi="et-EE"/>
        </w:rPr>
        <w:t>3.</w:t>
      </w:r>
      <w:r>
        <w:rPr>
          <w:noProof/>
          <w:lang w:eastAsia="et-EE" w:bidi="et-EE"/>
        </w:rPr>
        <w:tab/>
        <w:t>Aruanne riikide lõikes sisaldab rahvusvaheliste kontsernide kohta järgmist teavet:</w:t>
      </w:r>
    </w:p>
    <w:p w:rsidR="001449F2" w:rsidRDefault="002324A9">
      <w:pPr>
        <w:ind w:left="720" w:hanging="720"/>
        <w:rPr>
          <w:rFonts w:eastAsia="Times New Roman"/>
          <w:noProof/>
          <w:lang w:eastAsia="et-EE" w:bidi="et-EE"/>
        </w:rPr>
      </w:pPr>
      <w:r>
        <w:rPr>
          <w:noProof/>
          <w:lang w:eastAsia="et-EE" w:bidi="et-EE"/>
        </w:rPr>
        <w:tab/>
        <w:t>a)</w:t>
      </w:r>
      <w:r>
        <w:rPr>
          <w:noProof/>
          <w:lang w:eastAsia="et-EE" w:bidi="et-EE"/>
        </w:rPr>
        <w:tab/>
        <w:t>iga jurisdiktsiooni kohta, kus rahvusvaheline kontsern tegutseb, tulude summa, kasum (kahjum) enne tulumaksu, makstud ja kogunenud tulumaks, deklareeritud kapital, akumuleeritud kasum, töötajate arv ning materiaalne vara, v.a raha või raha ekvivalendid;</w:t>
      </w:r>
    </w:p>
    <w:p w:rsidR="001449F2" w:rsidRDefault="002324A9">
      <w:pPr>
        <w:ind w:left="720"/>
        <w:rPr>
          <w:rFonts w:eastAsia="Times New Roman"/>
          <w:noProof/>
          <w:lang w:eastAsia="et-EE" w:bidi="et-EE"/>
        </w:rPr>
      </w:pPr>
      <w:r>
        <w:rPr>
          <w:noProof/>
          <w:lang w:eastAsia="et-EE" w:bidi="et-EE"/>
        </w:rPr>
        <w:t>b)</w:t>
      </w:r>
      <w:r>
        <w:rPr>
          <w:noProof/>
          <w:lang w:eastAsia="et-EE" w:bidi="et-EE"/>
        </w:rPr>
        <w:tab/>
        <w:t>iga rahvusvahelise kontserni koosseisu kuuluva üksuse tunnusandmed, millest ilmnevad kõnealuse üksuse maksujurisdiktsioon ja see jurisdiktsioon, mille seaduste alusel on kõnealuse koosseisu kuuluva üksuse organisatsioonistruktuur loodud, kui kõnealune maksujurisdiktsioon on erinev üksuse asukoha maksujurisdiktsioonist, ning koosseisu kuuluva üksuse peamine äritegevus või -tegevused.</w:t>
      </w:r>
    </w:p>
    <w:p w:rsidR="001449F2" w:rsidRDefault="002324A9">
      <w:pPr>
        <w:ind w:left="720" w:hanging="720"/>
        <w:rPr>
          <w:rFonts w:eastAsia="Times New Roman"/>
          <w:noProof/>
          <w:lang w:eastAsia="et-EE" w:bidi="et-EE"/>
        </w:rPr>
      </w:pPr>
      <w:r>
        <w:rPr>
          <w:noProof/>
          <w:lang w:eastAsia="et-EE" w:bidi="et-EE"/>
        </w:rPr>
        <w:t xml:space="preserve">4. </w:t>
      </w:r>
      <w:r>
        <w:rPr>
          <w:noProof/>
          <w:lang w:eastAsia="et-EE" w:bidi="et-EE"/>
        </w:rPr>
        <w:tab/>
        <w:t>Teabevahetus toimub 15 kuu jooksul pärast selle rahvusvahelise kontserni majandusaasta viimast päeva, mille kohta aruanne riikide lõikes esitatakse. Esimene aruanne riikide lõikes edastatakse rahvusvahelise kontserni majandusaasta kohta, mis algab 1. jaanuaril 2016 või pärast seda.</w:t>
      </w:r>
    </w:p>
    <w:p w:rsidR="001449F2" w:rsidRDefault="002324A9">
      <w:pPr>
        <w:ind w:left="720" w:hanging="720"/>
        <w:rPr>
          <w:rFonts w:eastAsia="Times New Roman"/>
          <w:noProof/>
          <w:lang w:eastAsia="et-EE" w:bidi="et-EE"/>
        </w:rPr>
      </w:pPr>
      <w:r>
        <w:rPr>
          <w:noProof/>
          <w:lang w:eastAsia="et-EE" w:bidi="et-EE"/>
        </w:rPr>
        <w:t xml:space="preserve">5. </w:t>
      </w:r>
      <w:r>
        <w:rPr>
          <w:noProof/>
          <w:lang w:eastAsia="et-EE" w:bidi="et-EE"/>
        </w:rPr>
        <w:tab/>
        <w:t>Artikli 17 lõiget 4 ei kohaldata käesoleva artikli lõigete 1 ja 4 kohaselt vahetatud teabe suhtes.”;</w:t>
      </w:r>
    </w:p>
    <w:p w:rsidR="001449F2" w:rsidRDefault="001449F2">
      <w:pPr>
        <w:ind w:left="720" w:hanging="720"/>
        <w:rPr>
          <w:rFonts w:eastAsia="Times New Roman"/>
          <w:noProof/>
          <w:lang w:eastAsia="et-EE" w:bidi="et-EE"/>
        </w:rPr>
      </w:pPr>
    </w:p>
    <w:p w:rsidR="001449F2" w:rsidRDefault="002324A9">
      <w:pPr>
        <w:ind w:left="720" w:hanging="720"/>
        <w:rPr>
          <w:rFonts w:eastAsia="Times New Roman"/>
          <w:noProof/>
          <w:lang w:eastAsia="et-EE" w:bidi="et-EE"/>
        </w:rPr>
      </w:pPr>
      <w:r>
        <w:rPr>
          <w:noProof/>
          <w:lang w:eastAsia="et-EE" w:bidi="et-EE"/>
        </w:rPr>
        <w:t>3)</w:t>
      </w:r>
      <w:r>
        <w:rPr>
          <w:noProof/>
          <w:lang w:eastAsia="et-EE" w:bidi="et-EE"/>
        </w:rPr>
        <w:tab/>
        <w:t>Artiklile 20 lisatakse lõige 6:</w:t>
      </w:r>
    </w:p>
    <w:p w:rsidR="001449F2" w:rsidRDefault="002324A9">
      <w:pPr>
        <w:ind w:left="720" w:hanging="720"/>
        <w:rPr>
          <w:rFonts w:eastAsia="Times New Roman"/>
          <w:noProof/>
          <w:lang w:eastAsia="et-EE" w:bidi="et-EE"/>
        </w:rPr>
      </w:pPr>
      <w:r>
        <w:rPr>
          <w:noProof/>
          <w:lang w:eastAsia="et-EE" w:bidi="et-EE"/>
        </w:rPr>
        <w:tab/>
        <w:t>6. Riikide lõikes esitatava aruande puhul toimub artikli 8 aa kohane automaatne teabevahetus, kasutades standardvorme, mis on esitatud III lisa III jao tabelites 1, 2 ja 3. Komisjon võtab 31. detsembriks 2016 rakendusaktidega vastu teabevahetuse keelelise korralduse. See ei takista liikmesriike edastamast artiklis 8aa osutatud teavet ükskõik millises liidu ametlikus keeles või töökeeles. Keelelise korraldusega võidakse siiski ette näha, et sellise teabe peamised elemendid on esitatud ka mõnes muus Euroopa Liidu ametlikus keeles. Nimetatud rakendusaktid võetakse vastu kooskõlas artikli 26 lõikes 2 osutatud kontrollimenetlusega.”;</w:t>
      </w:r>
    </w:p>
    <w:p w:rsidR="001449F2" w:rsidRDefault="001449F2">
      <w:pPr>
        <w:ind w:left="720" w:hanging="720"/>
        <w:rPr>
          <w:rFonts w:eastAsia="Times New Roman"/>
          <w:noProof/>
          <w:lang w:eastAsia="et-EE" w:bidi="et-EE"/>
        </w:rPr>
      </w:pPr>
    </w:p>
    <w:p w:rsidR="001449F2" w:rsidRDefault="002324A9">
      <w:pPr>
        <w:tabs>
          <w:tab w:val="left" w:pos="709"/>
        </w:tabs>
        <w:ind w:left="709" w:hanging="709"/>
        <w:rPr>
          <w:rFonts w:eastAsia="Times New Roman"/>
          <w:noProof/>
          <w:lang w:eastAsia="et-EE" w:bidi="et-EE"/>
        </w:rPr>
      </w:pPr>
      <w:r>
        <w:rPr>
          <w:noProof/>
          <w:lang w:eastAsia="et-EE" w:bidi="et-EE"/>
        </w:rPr>
        <w:t>4)</w:t>
      </w:r>
      <w:r>
        <w:rPr>
          <w:noProof/>
          <w:lang w:eastAsia="et-EE" w:bidi="et-EE"/>
        </w:rPr>
        <w:tab/>
        <w:t>Artiklile 21 lisatakse lõige 6:</w:t>
      </w:r>
    </w:p>
    <w:p w:rsidR="001449F2" w:rsidRDefault="002324A9">
      <w:pPr>
        <w:tabs>
          <w:tab w:val="left" w:pos="709"/>
        </w:tabs>
        <w:ind w:left="709" w:hanging="709"/>
        <w:rPr>
          <w:rFonts w:eastAsia="Times New Roman"/>
          <w:noProof/>
          <w:lang w:eastAsia="et-EE" w:bidi="et-EE"/>
        </w:rPr>
      </w:pPr>
      <w:r>
        <w:rPr>
          <w:noProof/>
          <w:lang w:eastAsia="et-EE" w:bidi="et-EE"/>
        </w:rPr>
        <w:lastRenderedPageBreak/>
        <w:tab/>
        <w:t>„6. Artikli 8aa lõike 2 kohaselt edastatud teave esitatakse elektrooniliselt, kasutades ühist teabevõrku (CCN-võrk). Komisjon võtab rakendusaktidega vastu vajaliku praktilise korralduse ühise teabevõrgu ajakohastamiseks. Nimetatud rakendusaktid võetakse vastu kooskõlas artikli 26 lõikes 2 osutatud kontrollimenetlusega.”;</w:t>
      </w:r>
    </w:p>
    <w:p w:rsidR="001449F2" w:rsidRDefault="001449F2">
      <w:pPr>
        <w:tabs>
          <w:tab w:val="left" w:pos="709"/>
        </w:tabs>
        <w:ind w:left="709" w:hanging="709"/>
        <w:rPr>
          <w:rFonts w:eastAsia="Times New Roman"/>
          <w:noProof/>
          <w:lang w:eastAsia="et-EE" w:bidi="et-EE"/>
        </w:rPr>
      </w:pPr>
    </w:p>
    <w:p w:rsidR="001449F2" w:rsidRDefault="002324A9">
      <w:pPr>
        <w:tabs>
          <w:tab w:val="left" w:pos="709"/>
        </w:tabs>
        <w:ind w:left="709" w:hanging="709"/>
        <w:rPr>
          <w:rFonts w:eastAsia="Times New Roman"/>
          <w:noProof/>
          <w:lang w:eastAsia="et-EE" w:bidi="et-EE"/>
        </w:rPr>
      </w:pPr>
      <w:r>
        <w:rPr>
          <w:noProof/>
          <w:lang w:eastAsia="et-EE" w:bidi="et-EE"/>
        </w:rPr>
        <w:t>5)</w:t>
      </w:r>
      <w:r>
        <w:rPr>
          <w:noProof/>
          <w:lang w:eastAsia="et-EE" w:bidi="et-EE"/>
        </w:rPr>
        <w:tab/>
        <w:t>Artikli 23 lõige 3 asendatakse järgmisega:</w:t>
      </w:r>
    </w:p>
    <w:p w:rsidR="001449F2" w:rsidRDefault="002324A9">
      <w:pPr>
        <w:tabs>
          <w:tab w:val="left" w:pos="709"/>
        </w:tabs>
        <w:ind w:left="709" w:hanging="709"/>
        <w:rPr>
          <w:rFonts w:eastAsia="Times New Roman"/>
          <w:noProof/>
          <w:lang w:eastAsia="et-EE" w:bidi="et-EE"/>
        </w:rPr>
      </w:pPr>
      <w:r>
        <w:rPr>
          <w:noProof/>
          <w:lang w:eastAsia="et-EE" w:bidi="et-EE"/>
        </w:rPr>
        <w:tab/>
        <w:t>„3. Liikmesriigid edastavad igal aastal komisjonile hinnangu artiklites 8, 8a ja 8 aa osutatud automaatse teabevahetuse tõhususe kohta ja saavutatud praktilised tulemused. Komisjon võtab rakendusaktidega vastu kõnealuse iga-aastase hinnangu vormi ja edastamise tingimused. Nimetatud rakendusaktid võetakse vastu kooskõlas artikli 26 lõikes 2 osutatud kontrollimenetlusega.”;</w:t>
      </w:r>
    </w:p>
    <w:p w:rsidR="001449F2" w:rsidRDefault="001449F2">
      <w:pPr>
        <w:tabs>
          <w:tab w:val="left" w:pos="709"/>
        </w:tabs>
        <w:ind w:left="709" w:hanging="709"/>
        <w:rPr>
          <w:rFonts w:eastAsia="Times New Roman"/>
          <w:noProof/>
          <w:lang w:eastAsia="et-EE" w:bidi="et-EE"/>
        </w:rPr>
      </w:pPr>
    </w:p>
    <w:p w:rsidR="001449F2" w:rsidRDefault="002324A9">
      <w:pPr>
        <w:tabs>
          <w:tab w:val="left" w:pos="709"/>
        </w:tabs>
        <w:ind w:left="709" w:hanging="709"/>
        <w:rPr>
          <w:rFonts w:eastAsia="Times New Roman"/>
          <w:noProof/>
          <w:lang w:eastAsia="et-EE" w:bidi="et-EE"/>
        </w:rPr>
      </w:pPr>
      <w:r>
        <w:rPr>
          <w:noProof/>
          <w:lang w:eastAsia="et-EE" w:bidi="et-EE"/>
        </w:rPr>
        <w:t>6)</w:t>
      </w:r>
      <w:r>
        <w:rPr>
          <w:noProof/>
          <w:lang w:eastAsia="et-EE" w:bidi="et-EE"/>
        </w:rPr>
        <w:tab/>
        <w:t>lisatakse artikkel 25a:</w:t>
      </w:r>
    </w:p>
    <w:p w:rsidR="001449F2" w:rsidRDefault="002324A9">
      <w:pPr>
        <w:ind w:left="720" w:hanging="720"/>
        <w:jc w:val="center"/>
        <w:rPr>
          <w:rFonts w:eastAsia="Times New Roman"/>
          <w:noProof/>
          <w:lang w:eastAsia="et-EE" w:bidi="et-EE"/>
        </w:rPr>
      </w:pPr>
      <w:r>
        <w:rPr>
          <w:noProof/>
          <w:lang w:eastAsia="et-EE" w:bidi="et-EE"/>
        </w:rPr>
        <w:t>„Artikkel 25a</w:t>
      </w:r>
    </w:p>
    <w:p w:rsidR="001449F2" w:rsidRDefault="002324A9">
      <w:pPr>
        <w:ind w:left="720" w:hanging="720"/>
        <w:jc w:val="center"/>
        <w:rPr>
          <w:rFonts w:eastAsia="Times New Roman"/>
          <w:noProof/>
          <w:lang w:eastAsia="et-EE" w:bidi="et-EE"/>
        </w:rPr>
      </w:pPr>
      <w:r>
        <w:rPr>
          <w:noProof/>
          <w:lang w:eastAsia="et-EE" w:bidi="et-EE"/>
        </w:rPr>
        <w:t xml:space="preserve">Karistused </w:t>
      </w:r>
    </w:p>
    <w:p w:rsidR="001449F2" w:rsidRDefault="002324A9">
      <w:pPr>
        <w:tabs>
          <w:tab w:val="left" w:pos="709"/>
        </w:tabs>
        <w:ind w:left="709" w:hanging="709"/>
        <w:rPr>
          <w:rFonts w:eastAsia="Times New Roman"/>
          <w:noProof/>
          <w:lang w:eastAsia="et-EE" w:bidi="et-EE"/>
        </w:rPr>
      </w:pPr>
      <w:r>
        <w:rPr>
          <w:noProof/>
          <w:lang w:eastAsia="et-EE" w:bidi="et-EE"/>
        </w:rPr>
        <w:tab/>
        <w:t>Liikmesriigid kehtestavad eeskirjad karistuste kohta, mida kohaldatakse käesoleva direktiivi alusel vastu võetud siseriiklike õigusnormide rikkumise korral, mis puudutavad artiklit 8aa, ning võtavad kõik vajalikud meetmed nende rakendamise tagamiseks. Kehtestatud karistused peavad olema tõhusad, proportsionaalsed ja hoiatavad. Liikmesriigid teavitavad komisjoni 31. detsembriks 2016 kõnealustest eeskirjadest ja meetmetest ning kõikidest nende hilisematest muudatustest.”;</w:t>
      </w:r>
    </w:p>
    <w:p w:rsidR="001449F2" w:rsidRDefault="001449F2">
      <w:pPr>
        <w:tabs>
          <w:tab w:val="left" w:pos="709"/>
        </w:tabs>
        <w:ind w:left="709" w:hanging="709"/>
        <w:rPr>
          <w:rFonts w:eastAsia="Times New Roman"/>
          <w:b/>
          <w:noProof/>
          <w:lang w:eastAsia="et-EE" w:bidi="et-EE"/>
        </w:rPr>
      </w:pPr>
    </w:p>
    <w:p w:rsidR="001449F2" w:rsidRDefault="002324A9">
      <w:pPr>
        <w:tabs>
          <w:tab w:val="left" w:pos="709"/>
        </w:tabs>
        <w:ind w:left="709" w:hanging="709"/>
        <w:rPr>
          <w:rFonts w:eastAsia="Times New Roman"/>
          <w:noProof/>
          <w:lang w:eastAsia="et-EE" w:bidi="et-EE"/>
        </w:rPr>
      </w:pPr>
      <w:r>
        <w:rPr>
          <w:noProof/>
          <w:lang w:eastAsia="et-EE" w:bidi="et-EE"/>
        </w:rPr>
        <w:t>7)</w:t>
      </w:r>
      <w:r>
        <w:rPr>
          <w:noProof/>
          <w:lang w:eastAsia="et-EE" w:bidi="et-EE"/>
        </w:rPr>
        <w:tab/>
        <w:t>Artikkel 26 asendatakse järgmisega:</w:t>
      </w:r>
    </w:p>
    <w:p w:rsidR="001449F2" w:rsidRDefault="001449F2">
      <w:pPr>
        <w:tabs>
          <w:tab w:val="left" w:pos="709"/>
        </w:tabs>
        <w:ind w:left="709" w:hanging="709"/>
        <w:rPr>
          <w:rFonts w:eastAsia="Times New Roman"/>
          <w:noProof/>
          <w:lang w:eastAsia="et-EE" w:bidi="et-EE"/>
        </w:rPr>
      </w:pPr>
    </w:p>
    <w:p w:rsidR="001449F2" w:rsidRDefault="002324A9">
      <w:pPr>
        <w:tabs>
          <w:tab w:val="left" w:pos="709"/>
        </w:tabs>
        <w:ind w:left="709" w:hanging="709"/>
        <w:jc w:val="center"/>
        <w:rPr>
          <w:rFonts w:eastAsia="Times New Roman"/>
          <w:noProof/>
          <w:lang w:eastAsia="et-EE" w:bidi="et-EE"/>
        </w:rPr>
      </w:pPr>
      <w:r>
        <w:rPr>
          <w:noProof/>
          <w:lang w:eastAsia="et-EE" w:bidi="et-EE"/>
        </w:rPr>
        <w:t>„Artikkel 26</w:t>
      </w:r>
    </w:p>
    <w:p w:rsidR="001449F2" w:rsidRDefault="002324A9">
      <w:pPr>
        <w:tabs>
          <w:tab w:val="left" w:pos="709"/>
        </w:tabs>
        <w:ind w:left="709" w:hanging="709"/>
        <w:jc w:val="center"/>
        <w:rPr>
          <w:rFonts w:eastAsia="Times New Roman"/>
          <w:noProof/>
          <w:lang w:eastAsia="et-EE" w:bidi="et-EE"/>
        </w:rPr>
      </w:pPr>
      <w:r>
        <w:rPr>
          <w:noProof/>
          <w:lang w:eastAsia="et-EE" w:bidi="et-EE"/>
        </w:rPr>
        <w:t>Komiteemenetlus</w:t>
      </w:r>
    </w:p>
    <w:p w:rsidR="001449F2" w:rsidRDefault="002324A9">
      <w:pPr>
        <w:tabs>
          <w:tab w:val="left" w:pos="709"/>
        </w:tabs>
        <w:ind w:left="709" w:hanging="709"/>
        <w:rPr>
          <w:rFonts w:eastAsia="Times New Roman"/>
          <w:noProof/>
          <w:lang w:eastAsia="et-EE" w:bidi="et-EE"/>
        </w:rPr>
      </w:pPr>
      <w:r>
        <w:rPr>
          <w:noProof/>
          <w:lang w:eastAsia="et-EE" w:bidi="et-EE"/>
        </w:rPr>
        <w:t>1.</w:t>
      </w:r>
      <w:r>
        <w:rPr>
          <w:noProof/>
          <w:lang w:eastAsia="et-EE" w:bidi="et-EE"/>
        </w:rPr>
        <w:tab/>
        <w:t>Komisjoni abistab maksundusalase halduskoostöö komitee. Nimetatud komitee on komitee Euroopa Parlamendi ja nõukogu määruse (EL) nr 182/2011 tähenduses</w:t>
      </w:r>
      <w:r>
        <w:rPr>
          <w:noProof/>
          <w:vertAlign w:val="superscript"/>
          <w:lang w:eastAsia="et-EE" w:bidi="et-EE"/>
        </w:rPr>
        <w:t>(*)</w:t>
      </w:r>
      <w:r>
        <w:rPr>
          <w:noProof/>
          <w:lang w:eastAsia="et-EE" w:bidi="et-EE"/>
        </w:rPr>
        <w:t>.</w:t>
      </w:r>
    </w:p>
    <w:p w:rsidR="001449F2" w:rsidRDefault="002324A9">
      <w:pPr>
        <w:tabs>
          <w:tab w:val="left" w:pos="709"/>
        </w:tabs>
        <w:ind w:left="709" w:hanging="709"/>
        <w:rPr>
          <w:rFonts w:eastAsia="Times New Roman"/>
          <w:noProof/>
          <w:lang w:eastAsia="et-EE" w:bidi="et-EE"/>
        </w:rPr>
      </w:pPr>
      <w:r>
        <w:rPr>
          <w:noProof/>
          <w:lang w:eastAsia="et-EE" w:bidi="et-EE"/>
        </w:rPr>
        <w:t>2.</w:t>
      </w:r>
      <w:r>
        <w:rPr>
          <w:noProof/>
          <w:lang w:eastAsia="et-EE" w:bidi="et-EE"/>
        </w:rPr>
        <w:tab/>
        <w:t>Käesolevale lõikele viitamisel kohaldatakse määruse (EL) nr 182/2011 artiklit 5.</w:t>
      </w:r>
    </w:p>
    <w:p w:rsidR="001449F2" w:rsidRDefault="001449F2">
      <w:pPr>
        <w:tabs>
          <w:tab w:val="left" w:pos="709"/>
        </w:tabs>
        <w:ind w:left="709" w:hanging="709"/>
        <w:rPr>
          <w:rFonts w:eastAsia="Times New Roman"/>
          <w:noProof/>
          <w:lang w:eastAsia="et-EE" w:bidi="et-EE"/>
        </w:rPr>
      </w:pPr>
    </w:p>
    <w:p w:rsidR="001449F2" w:rsidRDefault="002324A9">
      <w:pPr>
        <w:tabs>
          <w:tab w:val="left" w:pos="709"/>
        </w:tabs>
        <w:ind w:left="709" w:hanging="709"/>
        <w:rPr>
          <w:rFonts w:eastAsia="Times New Roman"/>
          <w:noProof/>
          <w:lang w:eastAsia="et-EE" w:bidi="et-EE"/>
        </w:rPr>
      </w:pPr>
      <w:r>
        <w:rPr>
          <w:noProof/>
          <w:sz w:val="20"/>
          <w:vertAlign w:val="superscript"/>
          <w:lang w:eastAsia="et-EE" w:bidi="et-EE"/>
        </w:rPr>
        <w:t>(*)</w:t>
      </w:r>
      <w:r>
        <w:rPr>
          <w:noProof/>
          <w:sz w:val="20"/>
          <w:lang w:eastAsia="et-EE" w:bidi="et-EE"/>
        </w:rPr>
        <w:t xml:space="preserve"> </w:t>
      </w:r>
      <w:r>
        <w:rPr>
          <w:noProof/>
          <w:lang w:eastAsia="et-EE" w:bidi="et-EE"/>
        </w:rPr>
        <w:tab/>
        <w:t>Euroopa Parlamendi ja nõukogu 16. veebruari 2011. aasta määrus (EL) nr 182/2011, millega kehtestatakse eeskirjad ja üldpõhimõtted, mis käsitlevad liikmesriikide läbiviidava kontrolli mehhanisme, mida kohaldatakse komisjoni rakendamisvolituste teostamise suhtes (ELT L 55, 28.2.2011, lk 13)”;</w:t>
      </w:r>
      <w:r>
        <w:rPr>
          <w:noProof/>
          <w:lang w:eastAsia="et-EE" w:bidi="et-EE"/>
        </w:rPr>
        <w:tab/>
      </w:r>
    </w:p>
    <w:p w:rsidR="001449F2" w:rsidRDefault="001449F2">
      <w:pPr>
        <w:tabs>
          <w:tab w:val="left" w:pos="709"/>
        </w:tabs>
        <w:ind w:left="709" w:hanging="709"/>
        <w:rPr>
          <w:rFonts w:eastAsia="Times New Roman"/>
          <w:noProof/>
          <w:lang w:eastAsia="et-EE" w:bidi="et-EE"/>
        </w:rPr>
      </w:pPr>
    </w:p>
    <w:p w:rsidR="001449F2" w:rsidRDefault="002324A9">
      <w:pPr>
        <w:rPr>
          <w:rFonts w:eastAsia="Times New Roman"/>
          <w:noProof/>
          <w:lang w:eastAsia="et-EE" w:bidi="et-EE"/>
        </w:rPr>
      </w:pPr>
      <w:r>
        <w:rPr>
          <w:noProof/>
          <w:lang w:eastAsia="et-EE" w:bidi="et-EE"/>
        </w:rPr>
        <w:lastRenderedPageBreak/>
        <w:t xml:space="preserve"> 8)</w:t>
      </w:r>
      <w:r>
        <w:rPr>
          <w:noProof/>
          <w:lang w:eastAsia="et-EE" w:bidi="et-EE"/>
        </w:rPr>
        <w:tab/>
        <w:t>Lisatakse III lisa, mille tekst on esitatud käesoleva direktiivi I lisas.</w:t>
      </w:r>
    </w:p>
    <w:p w:rsidR="001449F2" w:rsidRDefault="002324A9">
      <w:pPr>
        <w:pStyle w:val="Titrearticle"/>
        <w:rPr>
          <w:noProof/>
          <w:lang w:eastAsia="et-EE" w:bidi="et-EE"/>
        </w:rPr>
      </w:pPr>
      <w:r>
        <w:rPr>
          <w:noProof/>
          <w:lang w:eastAsia="et-EE" w:bidi="et-EE"/>
        </w:rPr>
        <w:t>Artikkel 2</w:t>
      </w:r>
    </w:p>
    <w:p w:rsidR="001449F2" w:rsidRDefault="002324A9">
      <w:pPr>
        <w:pStyle w:val="ManualNumPar1"/>
        <w:rPr>
          <w:noProof/>
          <w:lang w:eastAsia="et-EE" w:bidi="et-EE"/>
        </w:rPr>
      </w:pPr>
      <w:r>
        <w:rPr>
          <w:noProof/>
          <w:lang w:eastAsia="et-EE" w:bidi="et-EE"/>
        </w:rPr>
        <w:t>1.</w:t>
      </w:r>
      <w:r>
        <w:rPr>
          <w:noProof/>
          <w:lang w:eastAsia="et-EE" w:bidi="et-EE"/>
        </w:rPr>
        <w:tab/>
        <w:t>Liikmesriigid võtavad vastu ja avaldavad käesoleva direktiivi järgimiseks vajalikud õigus- ja haldusnormid hiljemalt 31. detsembriks 2016. Nad edastavad nende normide teksti viivitamata komisjonile.</w:t>
      </w:r>
    </w:p>
    <w:p w:rsidR="001449F2" w:rsidRDefault="002324A9">
      <w:pPr>
        <w:pStyle w:val="Text1"/>
        <w:rPr>
          <w:noProof/>
          <w:lang w:eastAsia="et-EE" w:bidi="et-EE"/>
        </w:rPr>
      </w:pPr>
      <w:r>
        <w:rPr>
          <w:noProof/>
          <w:lang w:eastAsia="et-EE" w:bidi="et-EE"/>
        </w:rPr>
        <w:t>Nad kohaldavad neid norme alates 1. jaanuarist 2017.</w:t>
      </w:r>
    </w:p>
    <w:p w:rsidR="001449F2" w:rsidRDefault="002324A9">
      <w:pPr>
        <w:pStyle w:val="Text1"/>
        <w:rPr>
          <w:noProof/>
          <w:lang w:eastAsia="et-EE" w:bidi="et-EE"/>
        </w:rPr>
      </w:pPr>
      <w:r>
        <w:rPr>
          <w:noProof/>
          <w:lang w:eastAsia="et-EE" w:bidi="et-EE"/>
        </w:rPr>
        <w:t>Kui liikmesriigid need meetmed vastu võtavad, lisavad nad nendesse meetmetesse või nende meetmete ametliku avaldamise korral nende juurde viite käesolevale direktiivile. Sellise viitamise viisi näevad ette liikmesriigid.</w:t>
      </w:r>
    </w:p>
    <w:p w:rsidR="001449F2" w:rsidRDefault="002324A9">
      <w:pPr>
        <w:pStyle w:val="ManualNumPar2"/>
        <w:rPr>
          <w:noProof/>
          <w:lang w:eastAsia="et-EE" w:bidi="et-EE"/>
        </w:rPr>
      </w:pPr>
      <w:r>
        <w:rPr>
          <w:noProof/>
          <w:lang w:eastAsia="et-EE" w:bidi="et-EE"/>
        </w:rPr>
        <w:t>2.</w:t>
      </w:r>
      <w:r>
        <w:rPr>
          <w:noProof/>
          <w:lang w:eastAsia="et-EE" w:bidi="et-EE"/>
        </w:rPr>
        <w:tab/>
        <w:t>Liikmesriigid edastavad komisjonile käesoleva direktiiviga reguleeritavas valdkonnas nende poolt vastuvõetavate põhiliste siseriiklike õigusnormide teksti.</w:t>
      </w:r>
    </w:p>
    <w:p w:rsidR="001449F2" w:rsidRDefault="002324A9">
      <w:pPr>
        <w:pStyle w:val="Titrearticle"/>
        <w:rPr>
          <w:noProof/>
          <w:lang w:eastAsia="et-EE" w:bidi="et-EE"/>
        </w:rPr>
      </w:pPr>
      <w:r>
        <w:rPr>
          <w:noProof/>
          <w:lang w:eastAsia="et-EE" w:bidi="et-EE"/>
        </w:rPr>
        <w:t>Artikkel 3</w:t>
      </w:r>
    </w:p>
    <w:p w:rsidR="001449F2" w:rsidRDefault="002324A9">
      <w:pPr>
        <w:rPr>
          <w:noProof/>
          <w:lang w:eastAsia="et-EE" w:bidi="et-EE"/>
        </w:rPr>
      </w:pPr>
      <w:r>
        <w:rPr>
          <w:noProof/>
          <w:lang w:eastAsia="et-EE" w:bidi="et-EE"/>
        </w:rPr>
        <w:t xml:space="preserve">Käesolev direktiiv jõustub kahekümnendal päeval pärast selle avaldamist </w:t>
      </w:r>
      <w:r>
        <w:rPr>
          <w:i/>
          <w:noProof/>
          <w:lang w:eastAsia="et-EE" w:bidi="et-EE"/>
        </w:rPr>
        <w:t>Euroopa Liidu Teatajas</w:t>
      </w:r>
      <w:r>
        <w:rPr>
          <w:noProof/>
          <w:lang w:eastAsia="et-EE" w:bidi="et-EE"/>
        </w:rPr>
        <w:t>.</w:t>
      </w:r>
    </w:p>
    <w:p w:rsidR="001449F2" w:rsidRDefault="002324A9">
      <w:pPr>
        <w:pStyle w:val="Titrearticle"/>
        <w:rPr>
          <w:noProof/>
          <w:lang w:eastAsia="et-EE" w:bidi="et-EE"/>
        </w:rPr>
      </w:pPr>
      <w:r>
        <w:rPr>
          <w:noProof/>
          <w:lang w:eastAsia="et-EE" w:bidi="et-EE"/>
        </w:rPr>
        <w:t>Artikkel 4</w:t>
      </w:r>
    </w:p>
    <w:p w:rsidR="001449F2" w:rsidRDefault="002324A9">
      <w:pPr>
        <w:keepNext/>
        <w:keepLines/>
        <w:rPr>
          <w:noProof/>
          <w:lang w:eastAsia="et-EE" w:bidi="et-EE"/>
        </w:rPr>
      </w:pPr>
      <w:r>
        <w:rPr>
          <w:noProof/>
          <w:lang w:eastAsia="et-EE" w:bidi="et-EE"/>
        </w:rPr>
        <w:t>Käesolev direktiiv on adresseeritud liikmesriikidele.</w:t>
      </w:r>
    </w:p>
    <w:p w:rsidR="001449F2" w:rsidRDefault="002324A9" w:rsidP="002324A9">
      <w:pPr>
        <w:pStyle w:val="Fait"/>
        <w:rPr>
          <w:noProof/>
          <w:lang w:eastAsia="et-EE" w:bidi="et-EE"/>
        </w:rPr>
      </w:pPr>
      <w:r w:rsidRPr="002324A9">
        <w:t>Brüssel,</w:t>
      </w:r>
    </w:p>
    <w:p w:rsidR="001449F2" w:rsidRDefault="002324A9">
      <w:pPr>
        <w:pStyle w:val="Institutionquisigne"/>
        <w:rPr>
          <w:noProof/>
          <w:lang w:eastAsia="et-EE" w:bidi="et-EE"/>
        </w:rPr>
      </w:pPr>
      <w:r>
        <w:rPr>
          <w:noProof/>
          <w:lang w:eastAsia="et-EE" w:bidi="et-EE"/>
        </w:rPr>
        <w:tab/>
        <w:t>Nõukogu nimel</w:t>
      </w:r>
    </w:p>
    <w:p w:rsidR="001449F2" w:rsidRDefault="002324A9">
      <w:pPr>
        <w:pStyle w:val="Personnequisigne"/>
        <w:rPr>
          <w:noProof/>
          <w:lang w:eastAsia="et-EE" w:bidi="et-EE"/>
        </w:rPr>
      </w:pPr>
      <w:r>
        <w:rPr>
          <w:noProof/>
          <w:lang w:eastAsia="et-EE" w:bidi="et-EE"/>
        </w:rPr>
        <w:tab/>
        <w:t>eesistuja</w:t>
      </w:r>
    </w:p>
    <w:p w:rsidR="001449F2" w:rsidRDefault="001449F2">
      <w:pPr>
        <w:rPr>
          <w:noProof/>
          <w:lang w:eastAsia="et-EE" w:bidi="et-EE"/>
        </w:rPr>
        <w:sectPr w:rsidR="001449F2" w:rsidSect="002324A9">
          <w:pgSz w:w="11907" w:h="16839"/>
          <w:pgMar w:top="1134" w:right="1417" w:bottom="1134" w:left="1417" w:header="709" w:footer="709" w:gutter="0"/>
          <w:cols w:space="708"/>
          <w:docGrid w:linePitch="360"/>
        </w:sectPr>
      </w:pPr>
    </w:p>
    <w:p w:rsidR="001449F2" w:rsidRDefault="002324A9">
      <w:pPr>
        <w:pStyle w:val="Fichefinanciretitre"/>
        <w:rPr>
          <w:noProof/>
          <w:lang w:eastAsia="et-EE" w:bidi="et-EE"/>
        </w:rPr>
      </w:pPr>
      <w:r>
        <w:rPr>
          <w:noProof/>
          <w:lang w:eastAsia="et-EE" w:bidi="et-EE"/>
        </w:rPr>
        <w:lastRenderedPageBreak/>
        <w:t>FINANTSSELGITUS</w:t>
      </w:r>
    </w:p>
    <w:p w:rsidR="001449F2" w:rsidRDefault="002324A9">
      <w:pPr>
        <w:pStyle w:val="ManualHeading1"/>
        <w:rPr>
          <w:noProof/>
          <w:lang w:eastAsia="et-EE" w:bidi="et-EE"/>
        </w:rPr>
      </w:pPr>
      <w:r>
        <w:rPr>
          <w:noProof/>
          <w:lang w:eastAsia="et-EE" w:bidi="et-EE"/>
        </w:rPr>
        <w:t>1.</w:t>
      </w:r>
      <w:r>
        <w:rPr>
          <w:noProof/>
          <w:lang w:eastAsia="et-EE" w:bidi="et-EE"/>
        </w:rPr>
        <w:tab/>
        <w:t xml:space="preserve">ETTEPANEKU/ALGATUSE RAAMISTIK </w:t>
      </w:r>
    </w:p>
    <w:p w:rsidR="001449F2" w:rsidRDefault="002324A9">
      <w:pPr>
        <w:pStyle w:val="ManualHeading2"/>
        <w:rPr>
          <w:b w:val="0"/>
          <w:noProof/>
          <w:lang w:eastAsia="et-EE" w:bidi="et-EE"/>
        </w:rPr>
      </w:pPr>
      <w:r>
        <w:rPr>
          <w:noProof/>
          <w:lang w:eastAsia="et-EE" w:bidi="et-EE"/>
        </w:rPr>
        <w:tab/>
      </w:r>
      <w:r>
        <w:rPr>
          <w:b w:val="0"/>
          <w:noProof/>
          <w:lang w:eastAsia="et-EE" w:bidi="et-EE"/>
        </w:rPr>
        <w:t>1.1.</w:t>
      </w:r>
      <w:r>
        <w:rPr>
          <w:b w:val="0"/>
          <w:noProof/>
          <w:lang w:eastAsia="et-EE" w:bidi="et-EE"/>
        </w:rPr>
        <w:tab/>
        <w:t xml:space="preserve">Ettepaneku/algatuse nimetus </w:t>
      </w:r>
    </w:p>
    <w:p w:rsidR="001449F2" w:rsidRDefault="002324A9">
      <w:pPr>
        <w:pStyle w:val="ManualHeading2"/>
        <w:rPr>
          <w:b w:val="0"/>
          <w:noProof/>
          <w:lang w:eastAsia="et-EE" w:bidi="et-EE"/>
        </w:rPr>
      </w:pPr>
      <w:r>
        <w:rPr>
          <w:b w:val="0"/>
          <w:noProof/>
          <w:lang w:eastAsia="et-EE" w:bidi="et-EE"/>
        </w:rPr>
        <w:tab/>
        <w:t>1.2.</w:t>
      </w:r>
      <w:r>
        <w:rPr>
          <w:b w:val="0"/>
          <w:noProof/>
          <w:lang w:eastAsia="et-EE" w:bidi="et-EE"/>
        </w:rPr>
        <w:tab/>
        <w:t>Asjaomased poliitikavaldkonnad vastavalt tegevuspõhise juhtimise ja eelarvestamise (ABM/ABB) struktuurile</w:t>
      </w:r>
    </w:p>
    <w:p w:rsidR="001449F2" w:rsidRDefault="002324A9">
      <w:pPr>
        <w:pStyle w:val="ManualHeading2"/>
        <w:rPr>
          <w:b w:val="0"/>
          <w:noProof/>
          <w:lang w:eastAsia="et-EE" w:bidi="et-EE"/>
        </w:rPr>
      </w:pPr>
      <w:r>
        <w:rPr>
          <w:b w:val="0"/>
          <w:noProof/>
          <w:lang w:eastAsia="et-EE" w:bidi="et-EE"/>
        </w:rPr>
        <w:tab/>
        <w:t>1.3.</w:t>
      </w:r>
      <w:r>
        <w:rPr>
          <w:b w:val="0"/>
          <w:noProof/>
          <w:lang w:eastAsia="et-EE" w:bidi="et-EE"/>
        </w:rPr>
        <w:tab/>
        <w:t xml:space="preserve">Ettepaneku/algatuse liik </w:t>
      </w:r>
    </w:p>
    <w:p w:rsidR="001449F2" w:rsidRDefault="002324A9">
      <w:pPr>
        <w:pStyle w:val="ManualHeading2"/>
        <w:rPr>
          <w:b w:val="0"/>
          <w:noProof/>
          <w:lang w:eastAsia="et-EE" w:bidi="et-EE"/>
        </w:rPr>
      </w:pPr>
      <w:r>
        <w:rPr>
          <w:b w:val="0"/>
          <w:noProof/>
          <w:lang w:eastAsia="et-EE" w:bidi="et-EE"/>
        </w:rPr>
        <w:tab/>
        <w:t>1.4.</w:t>
      </w:r>
      <w:r>
        <w:rPr>
          <w:b w:val="0"/>
          <w:noProof/>
          <w:lang w:eastAsia="et-EE" w:bidi="et-EE"/>
        </w:rPr>
        <w:tab/>
        <w:t xml:space="preserve">Eesmärgid </w:t>
      </w:r>
    </w:p>
    <w:p w:rsidR="001449F2" w:rsidRDefault="002324A9">
      <w:pPr>
        <w:pStyle w:val="ManualHeading2"/>
        <w:rPr>
          <w:b w:val="0"/>
          <w:noProof/>
          <w:lang w:eastAsia="et-EE" w:bidi="et-EE"/>
        </w:rPr>
      </w:pPr>
      <w:r>
        <w:rPr>
          <w:b w:val="0"/>
          <w:noProof/>
          <w:lang w:eastAsia="et-EE" w:bidi="et-EE"/>
        </w:rPr>
        <w:tab/>
        <w:t>1.5.</w:t>
      </w:r>
      <w:r>
        <w:rPr>
          <w:b w:val="0"/>
          <w:noProof/>
          <w:lang w:eastAsia="et-EE" w:bidi="et-EE"/>
        </w:rPr>
        <w:tab/>
        <w:t xml:space="preserve">Ettepaneku/algatuse põhjendus </w:t>
      </w:r>
    </w:p>
    <w:p w:rsidR="001449F2" w:rsidRDefault="002324A9">
      <w:pPr>
        <w:pStyle w:val="ManualHeading2"/>
        <w:rPr>
          <w:b w:val="0"/>
          <w:noProof/>
          <w:lang w:eastAsia="et-EE" w:bidi="et-EE"/>
        </w:rPr>
      </w:pPr>
      <w:r>
        <w:rPr>
          <w:b w:val="0"/>
          <w:noProof/>
          <w:lang w:eastAsia="et-EE" w:bidi="et-EE"/>
        </w:rPr>
        <w:tab/>
        <w:t>1.6.</w:t>
      </w:r>
      <w:r>
        <w:rPr>
          <w:b w:val="0"/>
          <w:noProof/>
          <w:lang w:eastAsia="et-EE" w:bidi="et-EE"/>
        </w:rPr>
        <w:tab/>
        <w:t xml:space="preserve">Meetme kestus ja finantsmõju </w:t>
      </w:r>
    </w:p>
    <w:p w:rsidR="001449F2" w:rsidRDefault="002324A9">
      <w:pPr>
        <w:pStyle w:val="ManualHeading2"/>
        <w:rPr>
          <w:b w:val="0"/>
          <w:noProof/>
          <w:lang w:eastAsia="et-EE" w:bidi="et-EE"/>
        </w:rPr>
      </w:pPr>
      <w:r>
        <w:rPr>
          <w:b w:val="0"/>
          <w:noProof/>
          <w:lang w:eastAsia="et-EE" w:bidi="et-EE"/>
        </w:rPr>
        <w:tab/>
        <w:t>1.7.</w:t>
      </w:r>
      <w:r>
        <w:rPr>
          <w:b w:val="0"/>
          <w:noProof/>
          <w:lang w:eastAsia="et-EE" w:bidi="et-EE"/>
        </w:rPr>
        <w:tab/>
        <w:t xml:space="preserve">Kavandatud eelarve täitmise viisid </w:t>
      </w:r>
    </w:p>
    <w:p w:rsidR="001449F2" w:rsidRDefault="002324A9">
      <w:pPr>
        <w:pStyle w:val="ManualHeading1"/>
        <w:rPr>
          <w:noProof/>
          <w:lang w:eastAsia="et-EE" w:bidi="et-EE"/>
        </w:rPr>
      </w:pPr>
      <w:r>
        <w:rPr>
          <w:b w:val="0"/>
          <w:noProof/>
          <w:lang w:eastAsia="et-EE" w:bidi="et-EE"/>
        </w:rPr>
        <w:t>2.</w:t>
      </w:r>
      <w:r>
        <w:rPr>
          <w:b w:val="0"/>
          <w:noProof/>
          <w:lang w:eastAsia="et-EE" w:bidi="et-EE"/>
        </w:rPr>
        <w:tab/>
      </w:r>
      <w:r>
        <w:rPr>
          <w:noProof/>
          <w:lang w:eastAsia="et-EE" w:bidi="et-EE"/>
        </w:rPr>
        <w:t xml:space="preserve">MAJANDAMISMEETMED </w:t>
      </w:r>
    </w:p>
    <w:p w:rsidR="001449F2" w:rsidRDefault="002324A9">
      <w:pPr>
        <w:pStyle w:val="ManualHeading2"/>
        <w:rPr>
          <w:b w:val="0"/>
          <w:noProof/>
          <w:lang w:eastAsia="et-EE" w:bidi="et-EE"/>
        </w:rPr>
      </w:pPr>
      <w:r>
        <w:rPr>
          <w:b w:val="0"/>
          <w:noProof/>
          <w:lang w:eastAsia="et-EE" w:bidi="et-EE"/>
        </w:rPr>
        <w:tab/>
        <w:t>2.1.</w:t>
      </w:r>
      <w:r>
        <w:rPr>
          <w:b w:val="0"/>
          <w:noProof/>
          <w:lang w:eastAsia="et-EE" w:bidi="et-EE"/>
        </w:rPr>
        <w:tab/>
        <w:t xml:space="preserve">Järelevalve ja aruandluse eeskirjad </w:t>
      </w:r>
    </w:p>
    <w:p w:rsidR="001449F2" w:rsidRDefault="002324A9">
      <w:pPr>
        <w:pStyle w:val="ManualHeading2"/>
        <w:rPr>
          <w:b w:val="0"/>
          <w:noProof/>
          <w:lang w:eastAsia="et-EE" w:bidi="et-EE"/>
        </w:rPr>
      </w:pPr>
      <w:r>
        <w:rPr>
          <w:b w:val="0"/>
          <w:noProof/>
          <w:lang w:eastAsia="et-EE" w:bidi="et-EE"/>
        </w:rPr>
        <w:tab/>
        <w:t>2.2.</w:t>
      </w:r>
      <w:r>
        <w:rPr>
          <w:b w:val="0"/>
          <w:noProof/>
          <w:lang w:eastAsia="et-EE" w:bidi="et-EE"/>
        </w:rPr>
        <w:tab/>
        <w:t xml:space="preserve">Haldus- ja kontrollisüsteemid </w:t>
      </w:r>
    </w:p>
    <w:p w:rsidR="001449F2" w:rsidRDefault="002324A9">
      <w:pPr>
        <w:pStyle w:val="ManualHeading2"/>
        <w:rPr>
          <w:b w:val="0"/>
          <w:noProof/>
          <w:lang w:eastAsia="et-EE" w:bidi="et-EE"/>
        </w:rPr>
      </w:pPr>
      <w:r>
        <w:rPr>
          <w:b w:val="0"/>
          <w:noProof/>
          <w:lang w:eastAsia="et-EE" w:bidi="et-EE"/>
        </w:rPr>
        <w:tab/>
        <w:t>2.3.</w:t>
      </w:r>
      <w:r>
        <w:rPr>
          <w:b w:val="0"/>
          <w:noProof/>
          <w:lang w:eastAsia="et-EE" w:bidi="et-EE"/>
        </w:rPr>
        <w:tab/>
        <w:t xml:space="preserve">Pettuste ja muude eeskirjade eiramise ärahoidmise meetmed </w:t>
      </w:r>
    </w:p>
    <w:p w:rsidR="001449F2" w:rsidRDefault="002324A9">
      <w:pPr>
        <w:pStyle w:val="ManualHeading1"/>
        <w:rPr>
          <w:noProof/>
          <w:lang w:eastAsia="et-EE" w:bidi="et-EE"/>
        </w:rPr>
      </w:pPr>
      <w:r>
        <w:rPr>
          <w:b w:val="0"/>
          <w:noProof/>
          <w:lang w:eastAsia="et-EE" w:bidi="et-EE"/>
        </w:rPr>
        <w:t>3.</w:t>
      </w:r>
      <w:r>
        <w:rPr>
          <w:b w:val="0"/>
          <w:noProof/>
          <w:lang w:eastAsia="et-EE" w:bidi="et-EE"/>
        </w:rPr>
        <w:tab/>
      </w:r>
      <w:r>
        <w:rPr>
          <w:noProof/>
          <w:lang w:eastAsia="et-EE" w:bidi="et-EE"/>
        </w:rPr>
        <w:t xml:space="preserve">ETTEPANEKU/ALGATUSE HINNANGULINE FINANTSMÕJU </w:t>
      </w:r>
    </w:p>
    <w:p w:rsidR="001449F2" w:rsidRDefault="002324A9">
      <w:pPr>
        <w:pStyle w:val="ManualHeading2"/>
        <w:rPr>
          <w:b w:val="0"/>
          <w:noProof/>
          <w:lang w:eastAsia="et-EE" w:bidi="et-EE"/>
        </w:rPr>
      </w:pPr>
      <w:r>
        <w:rPr>
          <w:b w:val="0"/>
          <w:noProof/>
          <w:lang w:eastAsia="et-EE" w:bidi="et-EE"/>
        </w:rPr>
        <w:tab/>
        <w:t>3.1.</w:t>
      </w:r>
      <w:r>
        <w:rPr>
          <w:b w:val="0"/>
          <w:noProof/>
          <w:lang w:eastAsia="et-EE" w:bidi="et-EE"/>
        </w:rPr>
        <w:tab/>
        <w:t xml:space="preserve">Mitmeaastase finantsraamistiku rubriigid ja kulude eelarveread, millele mõju avaldub: </w:t>
      </w:r>
    </w:p>
    <w:p w:rsidR="001449F2" w:rsidRDefault="002324A9">
      <w:pPr>
        <w:pStyle w:val="ManualHeading2"/>
        <w:rPr>
          <w:b w:val="0"/>
          <w:noProof/>
          <w:lang w:eastAsia="et-EE" w:bidi="et-EE"/>
        </w:rPr>
      </w:pPr>
      <w:r>
        <w:rPr>
          <w:b w:val="0"/>
          <w:noProof/>
          <w:lang w:eastAsia="et-EE" w:bidi="et-EE"/>
        </w:rPr>
        <w:tab/>
        <w:t>3.2.</w:t>
      </w:r>
      <w:r>
        <w:rPr>
          <w:b w:val="0"/>
          <w:noProof/>
          <w:lang w:eastAsia="et-EE" w:bidi="et-EE"/>
        </w:rPr>
        <w:tab/>
        <w:t xml:space="preserve">Hinnanguline mõju kuludele </w:t>
      </w:r>
    </w:p>
    <w:p w:rsidR="001449F2" w:rsidRDefault="002324A9">
      <w:pPr>
        <w:pStyle w:val="ManualHeading3"/>
        <w:rPr>
          <w:noProof/>
          <w:lang w:eastAsia="et-EE" w:bidi="et-EE"/>
        </w:rPr>
      </w:pPr>
      <w:r>
        <w:rPr>
          <w:noProof/>
          <w:lang w:eastAsia="et-EE" w:bidi="et-EE"/>
        </w:rPr>
        <w:tab/>
        <w:t>3.2.1.</w:t>
      </w:r>
      <w:r>
        <w:rPr>
          <w:noProof/>
          <w:lang w:eastAsia="et-EE" w:bidi="et-EE"/>
        </w:rPr>
        <w:tab/>
        <w:t xml:space="preserve">Üldine hinnanguline mõju kuludele </w:t>
      </w:r>
    </w:p>
    <w:p w:rsidR="001449F2" w:rsidRDefault="002324A9">
      <w:pPr>
        <w:pStyle w:val="ManualHeading3"/>
        <w:rPr>
          <w:noProof/>
          <w:lang w:eastAsia="et-EE" w:bidi="et-EE"/>
        </w:rPr>
      </w:pPr>
      <w:r>
        <w:rPr>
          <w:noProof/>
          <w:lang w:eastAsia="et-EE" w:bidi="et-EE"/>
        </w:rPr>
        <w:tab/>
        <w:t>3.2.2.</w:t>
      </w:r>
      <w:r>
        <w:rPr>
          <w:noProof/>
          <w:lang w:eastAsia="et-EE" w:bidi="et-EE"/>
        </w:rPr>
        <w:tab/>
        <w:t xml:space="preserve">Hinnanguline mõju tegevusassigneeringutele </w:t>
      </w:r>
    </w:p>
    <w:p w:rsidR="001449F2" w:rsidRDefault="002324A9">
      <w:pPr>
        <w:pStyle w:val="ManualHeading3"/>
        <w:rPr>
          <w:noProof/>
          <w:lang w:eastAsia="et-EE" w:bidi="et-EE"/>
        </w:rPr>
      </w:pPr>
      <w:r>
        <w:rPr>
          <w:noProof/>
          <w:lang w:eastAsia="et-EE" w:bidi="et-EE"/>
        </w:rPr>
        <w:tab/>
        <w:t>3.2.3.</w:t>
      </w:r>
      <w:r>
        <w:rPr>
          <w:noProof/>
          <w:lang w:eastAsia="et-EE" w:bidi="et-EE"/>
        </w:rPr>
        <w:tab/>
        <w:t>Hinnanguline mõju haldusassigneeringutele</w:t>
      </w:r>
    </w:p>
    <w:p w:rsidR="001449F2" w:rsidRDefault="002324A9">
      <w:pPr>
        <w:pStyle w:val="ManualHeading3"/>
        <w:rPr>
          <w:noProof/>
          <w:lang w:eastAsia="et-EE" w:bidi="et-EE"/>
        </w:rPr>
      </w:pPr>
      <w:r>
        <w:rPr>
          <w:noProof/>
          <w:lang w:eastAsia="et-EE" w:bidi="et-EE"/>
        </w:rPr>
        <w:tab/>
        <w:t>3.2.4.</w:t>
      </w:r>
      <w:r>
        <w:rPr>
          <w:noProof/>
          <w:lang w:eastAsia="et-EE" w:bidi="et-EE"/>
        </w:rPr>
        <w:tab/>
        <w:t>Kooskõla kehtiva mitmeaastase finantsraamistikuga</w:t>
      </w:r>
    </w:p>
    <w:p w:rsidR="001449F2" w:rsidRDefault="002324A9">
      <w:pPr>
        <w:pStyle w:val="ManualHeading3"/>
        <w:rPr>
          <w:noProof/>
          <w:lang w:eastAsia="et-EE" w:bidi="et-EE"/>
        </w:rPr>
      </w:pPr>
      <w:r>
        <w:rPr>
          <w:noProof/>
          <w:lang w:eastAsia="et-EE" w:bidi="et-EE"/>
        </w:rPr>
        <w:tab/>
        <w:t>3.2.5.</w:t>
      </w:r>
      <w:r>
        <w:rPr>
          <w:noProof/>
          <w:lang w:eastAsia="et-EE" w:bidi="et-EE"/>
        </w:rPr>
        <w:tab/>
        <w:t xml:space="preserve">Kolmandate isikute rahaline osalus </w:t>
      </w:r>
    </w:p>
    <w:p w:rsidR="001449F2" w:rsidRDefault="002324A9">
      <w:pPr>
        <w:pStyle w:val="ManualHeading2"/>
        <w:rPr>
          <w:b w:val="0"/>
          <w:noProof/>
          <w:lang w:eastAsia="et-EE" w:bidi="et-EE"/>
        </w:rPr>
        <w:sectPr w:rsidR="001449F2" w:rsidSect="002324A9">
          <w:pgSz w:w="11907" w:h="16840" w:code="9"/>
          <w:pgMar w:top="1134" w:right="1418" w:bottom="1134" w:left="1418" w:header="709" w:footer="709" w:gutter="0"/>
          <w:cols w:space="708"/>
          <w:docGrid w:linePitch="360"/>
        </w:sectPr>
      </w:pPr>
      <w:r>
        <w:rPr>
          <w:b w:val="0"/>
          <w:noProof/>
          <w:lang w:eastAsia="et-EE" w:bidi="et-EE"/>
        </w:rPr>
        <w:tab/>
        <w:t>3.3.</w:t>
      </w:r>
      <w:r>
        <w:rPr>
          <w:b w:val="0"/>
          <w:noProof/>
          <w:lang w:eastAsia="et-EE" w:bidi="et-EE"/>
        </w:rPr>
        <w:tab/>
        <w:t>Hinnanguline mõju tuludele</w:t>
      </w:r>
    </w:p>
    <w:p w:rsidR="001449F2" w:rsidRDefault="002324A9">
      <w:pPr>
        <w:jc w:val="center"/>
        <w:rPr>
          <w:noProof/>
          <w:lang w:eastAsia="et-EE" w:bidi="et-EE"/>
        </w:rPr>
      </w:pPr>
      <w:r>
        <w:rPr>
          <w:b/>
          <w:noProof/>
          <w:u w:val="single"/>
          <w:lang w:eastAsia="et-EE" w:bidi="et-EE"/>
        </w:rPr>
        <w:lastRenderedPageBreak/>
        <w:t>FINANTSSELGITUS</w:t>
      </w:r>
    </w:p>
    <w:p w:rsidR="001449F2" w:rsidRDefault="002324A9">
      <w:pPr>
        <w:pStyle w:val="ManualHeading1"/>
        <w:rPr>
          <w:noProof/>
        </w:rPr>
      </w:pPr>
      <w:r>
        <w:rPr>
          <w:noProof/>
        </w:rPr>
        <w:t>1.</w:t>
      </w:r>
      <w:r>
        <w:rPr>
          <w:noProof/>
        </w:rPr>
        <w:tab/>
      </w:r>
      <w:r>
        <w:rPr>
          <w:noProof/>
          <w:lang w:eastAsia="et-EE" w:bidi="et-EE"/>
        </w:rPr>
        <w:t xml:space="preserve">ETTEPANEKU/ALGATUSE RAAMISTIK </w:t>
      </w:r>
    </w:p>
    <w:p w:rsidR="001449F2" w:rsidRDefault="002324A9">
      <w:pPr>
        <w:pStyle w:val="ManualHeading2"/>
        <w:rPr>
          <w:noProof/>
        </w:rPr>
      </w:pPr>
      <w:r>
        <w:rPr>
          <w:noProof/>
        </w:rPr>
        <w:t>1.1.</w:t>
      </w:r>
      <w:r>
        <w:rPr>
          <w:noProof/>
        </w:rPr>
        <w:tab/>
      </w:r>
      <w:r>
        <w:rPr>
          <w:noProof/>
          <w:lang w:eastAsia="et-EE" w:bidi="et-EE"/>
        </w:rPr>
        <w:t xml:space="preserve">Ettepaneku/algatuse nimetus </w:t>
      </w:r>
    </w:p>
    <w:p w:rsidR="001449F2" w:rsidRDefault="002324A9">
      <w:pPr>
        <w:pStyle w:val="Tex1"/>
        <w:rPr>
          <w:noProof/>
          <w:lang w:eastAsia="et-EE" w:bidi="et-EE"/>
        </w:rPr>
      </w:pPr>
      <w:r>
        <w:rPr>
          <w:noProof/>
          <w:lang w:eastAsia="et-EE" w:bidi="et-EE"/>
        </w:rPr>
        <w:t xml:space="preserve">Ettepanek: nõukogu direktiiv, millega muudetakse direktiivi 2011/16/EL </w:t>
      </w:r>
    </w:p>
    <w:p w:rsidR="001449F2" w:rsidRDefault="002324A9">
      <w:pPr>
        <w:pStyle w:val="Tex1"/>
        <w:rPr>
          <w:noProof/>
          <w:lang w:eastAsia="et-EE" w:bidi="et-EE"/>
        </w:rPr>
      </w:pPr>
      <w:r>
        <w:rPr>
          <w:noProof/>
          <w:lang w:eastAsia="et-EE" w:bidi="et-EE"/>
        </w:rPr>
        <w:t xml:space="preserve">seoses kohustusliku automaatse teabevahetusega maksustamise valdkonnas </w:t>
      </w:r>
    </w:p>
    <w:p w:rsidR="001449F2" w:rsidRDefault="002324A9">
      <w:pPr>
        <w:pStyle w:val="ManualHeading2"/>
        <w:rPr>
          <w:noProof/>
          <w:szCs w:val="24"/>
        </w:rPr>
      </w:pPr>
      <w:r>
        <w:rPr>
          <w:noProof/>
        </w:rPr>
        <w:t>1.2.</w:t>
      </w:r>
      <w:r>
        <w:rPr>
          <w:noProof/>
        </w:rPr>
        <w:tab/>
      </w:r>
      <w:r>
        <w:rPr>
          <w:noProof/>
          <w:lang w:eastAsia="et-EE" w:bidi="et-EE"/>
        </w:rPr>
        <w:t>Asjaomased poliitikavaldkonnad vastavalt tegevuspõhise juhtimise ja eelarvestamise (ABM/ABB) struktuurile</w:t>
      </w:r>
      <w:r>
        <w:rPr>
          <w:rStyle w:val="FootnoteReference"/>
          <w:noProof/>
        </w:rPr>
        <w:footnoteReference w:id="11"/>
      </w:r>
      <w:r>
        <w:rPr>
          <w:i/>
          <w:noProof/>
          <w:lang w:eastAsia="et-EE" w:bidi="et-EE"/>
        </w:rPr>
        <w:t xml:space="preserve"> </w:t>
      </w:r>
    </w:p>
    <w:p w:rsidR="001449F2" w:rsidRDefault="002324A9">
      <w:pPr>
        <w:pStyle w:val="Tex1"/>
        <w:rPr>
          <w:noProof/>
          <w:lang w:eastAsia="et-EE" w:bidi="et-EE"/>
        </w:rPr>
      </w:pPr>
      <w:r>
        <w:rPr>
          <w:noProof/>
          <w:lang w:eastAsia="et-EE" w:bidi="et-EE"/>
        </w:rPr>
        <w:t>14.</w:t>
      </w:r>
    </w:p>
    <w:p w:rsidR="001449F2" w:rsidRDefault="002324A9">
      <w:pPr>
        <w:pStyle w:val="Tex1"/>
        <w:rPr>
          <w:noProof/>
          <w:lang w:eastAsia="et-EE" w:bidi="et-EE"/>
        </w:rPr>
      </w:pPr>
      <w:r>
        <w:rPr>
          <w:noProof/>
          <w:lang w:eastAsia="et-EE" w:bidi="et-EE"/>
        </w:rPr>
        <w:t xml:space="preserve">14.03 </w:t>
      </w:r>
    </w:p>
    <w:p w:rsidR="001449F2" w:rsidRDefault="002324A9">
      <w:pPr>
        <w:pStyle w:val="ManualHeading2"/>
        <w:rPr>
          <w:bCs/>
          <w:noProof/>
          <w:szCs w:val="24"/>
        </w:rPr>
      </w:pPr>
      <w:r>
        <w:rPr>
          <w:noProof/>
        </w:rPr>
        <w:t>1.3.</w:t>
      </w:r>
      <w:r>
        <w:rPr>
          <w:noProof/>
        </w:rPr>
        <w:tab/>
        <w:t xml:space="preserve">Ettepaneku/algatuse liik </w:t>
      </w:r>
    </w:p>
    <w:p w:rsidR="001449F2" w:rsidRDefault="002324A9">
      <w:pPr>
        <w:pStyle w:val="Text1"/>
        <w:rPr>
          <w:b/>
          <w:noProof/>
          <w:sz w:val="22"/>
          <w:lang w:eastAsia="et-EE" w:bidi="et-EE"/>
        </w:rPr>
      </w:pPr>
      <w:r>
        <w:rPr>
          <w:noProof/>
          <w:sz w:val="22"/>
          <w:lang w:eastAsia="et-EE" w:bidi="et-EE"/>
        </w:rPr>
        <w:sym w:font="Wingdings" w:char="F0FD"/>
      </w:r>
      <w:r>
        <w:rPr>
          <w:b/>
          <w:i/>
          <w:noProof/>
          <w:sz w:val="22"/>
          <w:lang w:eastAsia="et-EE" w:bidi="et-EE"/>
        </w:rPr>
        <w:t xml:space="preserve"> </w:t>
      </w:r>
      <w:r>
        <w:rPr>
          <w:noProof/>
          <w:lang w:eastAsia="et-EE" w:bidi="et-EE"/>
        </w:rPr>
        <w:t xml:space="preserve">Ettepanek/algatus käsitleb </w:t>
      </w:r>
      <w:r>
        <w:rPr>
          <w:b/>
          <w:noProof/>
          <w:lang w:eastAsia="et-EE" w:bidi="et-EE"/>
        </w:rPr>
        <w:t>uut meedet</w:t>
      </w:r>
      <w:r>
        <w:rPr>
          <w:b/>
          <w:noProof/>
          <w:sz w:val="22"/>
          <w:lang w:eastAsia="et-EE" w:bidi="et-EE"/>
        </w:rPr>
        <w:t xml:space="preserve"> </w:t>
      </w:r>
    </w:p>
    <w:p w:rsidR="001449F2" w:rsidRDefault="002324A9">
      <w:pPr>
        <w:pStyle w:val="Text1"/>
        <w:rPr>
          <w:noProof/>
          <w:sz w:val="22"/>
          <w:lang w:eastAsia="et-EE" w:bidi="et-EE"/>
        </w:rPr>
      </w:pPr>
      <w:r>
        <w:rPr>
          <w:noProof/>
          <w:sz w:val="22"/>
          <w:lang w:eastAsia="et-EE" w:bidi="et-EE"/>
        </w:rPr>
        <w:sym w:font="Wingdings" w:char="F0A8"/>
      </w:r>
      <w:r>
        <w:rPr>
          <w:i/>
          <w:noProof/>
          <w:sz w:val="22"/>
          <w:lang w:eastAsia="et-EE" w:bidi="et-EE"/>
        </w:rPr>
        <w:t xml:space="preserve"> </w:t>
      </w:r>
      <w:r>
        <w:rPr>
          <w:noProof/>
          <w:lang w:eastAsia="et-EE" w:bidi="et-EE"/>
        </w:rPr>
        <w:t xml:space="preserve">Ettepanek/algatus käsitleb </w:t>
      </w:r>
      <w:r>
        <w:rPr>
          <w:b/>
          <w:noProof/>
          <w:lang w:eastAsia="et-EE" w:bidi="et-EE"/>
        </w:rPr>
        <w:t>mis tuleneb katseprojektist / ettevalmistavast meetmest</w:t>
      </w:r>
      <w:r>
        <w:rPr>
          <w:rStyle w:val="FootnoteReference"/>
          <w:noProof/>
        </w:rPr>
        <w:footnoteReference w:id="12"/>
      </w:r>
      <w:r>
        <w:rPr>
          <w:noProof/>
          <w:sz w:val="22"/>
          <w:lang w:eastAsia="et-EE" w:bidi="et-EE"/>
        </w:rPr>
        <w:t xml:space="preserve"> </w:t>
      </w:r>
    </w:p>
    <w:p w:rsidR="001449F2" w:rsidRDefault="002324A9">
      <w:pPr>
        <w:pStyle w:val="Text1"/>
        <w:rPr>
          <w:noProof/>
          <w:sz w:val="22"/>
          <w:lang w:eastAsia="et-EE" w:bidi="et-EE"/>
        </w:rPr>
      </w:pPr>
      <w:r>
        <w:rPr>
          <w:noProof/>
          <w:sz w:val="22"/>
          <w:lang w:eastAsia="et-EE" w:bidi="et-EE"/>
        </w:rPr>
        <w:sym w:font="Wingdings" w:char="F0A8"/>
      </w:r>
      <w:r>
        <w:rPr>
          <w:i/>
          <w:noProof/>
          <w:sz w:val="22"/>
          <w:lang w:eastAsia="et-EE" w:bidi="et-EE"/>
        </w:rPr>
        <w:t xml:space="preserve"> </w:t>
      </w:r>
      <w:r>
        <w:rPr>
          <w:noProof/>
          <w:lang w:eastAsia="et-EE" w:bidi="et-EE"/>
        </w:rPr>
        <w:t xml:space="preserve">Ettepanek/algatus käsitleb </w:t>
      </w:r>
      <w:r>
        <w:rPr>
          <w:b/>
          <w:noProof/>
          <w:lang w:eastAsia="et-EE" w:bidi="et-EE"/>
        </w:rPr>
        <w:t>olemasoleva meetme pikendamist</w:t>
      </w:r>
      <w:r>
        <w:rPr>
          <w:noProof/>
          <w:sz w:val="22"/>
          <w:lang w:eastAsia="et-EE" w:bidi="et-EE"/>
        </w:rPr>
        <w:t xml:space="preserve"> </w:t>
      </w:r>
    </w:p>
    <w:p w:rsidR="001449F2" w:rsidRDefault="002324A9">
      <w:pPr>
        <w:pStyle w:val="Text1"/>
        <w:rPr>
          <w:noProof/>
          <w:lang w:eastAsia="et-EE" w:bidi="et-EE"/>
        </w:rPr>
      </w:pPr>
      <w:r>
        <w:rPr>
          <w:noProof/>
          <w:sz w:val="22"/>
          <w:lang w:eastAsia="et-EE" w:bidi="et-EE"/>
        </w:rPr>
        <w:sym w:font="Wingdings" w:char="F0A8"/>
      </w:r>
      <w:r>
        <w:rPr>
          <w:i/>
          <w:noProof/>
          <w:sz w:val="22"/>
          <w:lang w:eastAsia="et-EE" w:bidi="et-EE"/>
        </w:rPr>
        <w:t xml:space="preserve"> </w:t>
      </w:r>
      <w:r>
        <w:rPr>
          <w:noProof/>
          <w:lang w:eastAsia="et-EE" w:bidi="et-EE"/>
        </w:rPr>
        <w:t xml:space="preserve">Ettepanek/algatus </w:t>
      </w:r>
      <w:r>
        <w:rPr>
          <w:b/>
          <w:noProof/>
          <w:lang w:eastAsia="et-EE" w:bidi="et-EE"/>
        </w:rPr>
        <w:t>käsitleb ümbersuunatud meedet</w:t>
      </w:r>
      <w:r>
        <w:rPr>
          <w:noProof/>
          <w:lang w:eastAsia="et-EE" w:bidi="et-EE"/>
        </w:rPr>
        <w:t xml:space="preserve"> </w:t>
      </w:r>
    </w:p>
    <w:p w:rsidR="001449F2" w:rsidRDefault="002324A9">
      <w:pPr>
        <w:pStyle w:val="ManualHeading2"/>
        <w:rPr>
          <w:bCs/>
          <w:noProof/>
          <w:szCs w:val="24"/>
        </w:rPr>
      </w:pPr>
      <w:r>
        <w:rPr>
          <w:noProof/>
        </w:rPr>
        <w:t>1.4.</w:t>
      </w:r>
      <w:r>
        <w:rPr>
          <w:noProof/>
        </w:rPr>
        <w:tab/>
      </w:r>
      <w:r>
        <w:rPr>
          <w:noProof/>
          <w:lang w:eastAsia="et-EE" w:bidi="et-EE"/>
        </w:rPr>
        <w:t>Eesmärgid</w:t>
      </w:r>
    </w:p>
    <w:p w:rsidR="001449F2" w:rsidRDefault="002324A9">
      <w:pPr>
        <w:pStyle w:val="ManualHeading3"/>
        <w:rPr>
          <w:noProof/>
        </w:rPr>
      </w:pPr>
      <w:r>
        <w:rPr>
          <w:noProof/>
        </w:rPr>
        <w:t>1.4.1.</w:t>
      </w:r>
      <w:r>
        <w:rPr>
          <w:noProof/>
        </w:rPr>
        <w:tab/>
      </w:r>
      <w:r>
        <w:rPr>
          <w:noProof/>
          <w:lang w:eastAsia="et-EE" w:bidi="et-EE"/>
        </w:rPr>
        <w:t xml:space="preserve">Komisjoni mitmeaastased strateegilised eesmärgid, mida ettepaneku/algatuse kaudu täidetakse </w:t>
      </w:r>
    </w:p>
    <w:p w:rsidR="001449F2" w:rsidRDefault="002324A9">
      <w:pPr>
        <w:pStyle w:val="Tex1"/>
        <w:rPr>
          <w:noProof/>
          <w:lang w:eastAsia="et-EE" w:bidi="et-EE"/>
        </w:rPr>
      </w:pPr>
      <w:r>
        <w:rPr>
          <w:noProof/>
          <w:lang w:eastAsia="et-EE" w:bidi="et-EE"/>
        </w:rPr>
        <w:t xml:space="preserve">Komisjoni 2015. aasta tööprogrammi prioriteetide hulka kuulub õiglasem maksustamiskord. Selle järelmeetmena on komisjoni 2016. aasta tööprogrammis nimetatud äriühingute maksustamise läbipaistvuse suurendamist. </w:t>
      </w:r>
    </w:p>
    <w:p w:rsidR="001449F2" w:rsidRDefault="002324A9">
      <w:pPr>
        <w:pStyle w:val="ManualHeading3"/>
        <w:rPr>
          <w:noProof/>
        </w:rPr>
      </w:pPr>
      <w:r>
        <w:rPr>
          <w:noProof/>
        </w:rPr>
        <w:t>1.4.2.</w:t>
      </w:r>
      <w:r>
        <w:rPr>
          <w:noProof/>
        </w:rPr>
        <w:tab/>
      </w:r>
      <w:r>
        <w:rPr>
          <w:noProof/>
          <w:lang w:eastAsia="et-EE" w:bidi="et-EE"/>
        </w:rPr>
        <w:t xml:space="preserve">Erieesmärgid ning asjaomased tegevusvaldkonnad vastavalt tegevuspõhise juhtimise ja eelarvestamise struktuurile </w:t>
      </w:r>
    </w:p>
    <w:p w:rsidR="001449F2" w:rsidRDefault="002324A9">
      <w:pPr>
        <w:pStyle w:val="Tex1"/>
        <w:rPr>
          <w:noProof/>
          <w:lang w:eastAsia="et-EE" w:bidi="et-EE"/>
        </w:rPr>
      </w:pPr>
      <w:r>
        <w:rPr>
          <w:noProof/>
          <w:lang w:eastAsia="et-EE" w:bidi="et-EE"/>
        </w:rPr>
        <w:t>Erieesmärk</w:t>
      </w:r>
    </w:p>
    <w:p w:rsidR="001449F2" w:rsidRDefault="002324A9">
      <w:pPr>
        <w:pStyle w:val="Tex1"/>
        <w:rPr>
          <w:noProof/>
          <w:lang w:eastAsia="et-EE" w:bidi="et-EE"/>
        </w:rPr>
      </w:pPr>
      <w:r>
        <w:rPr>
          <w:noProof/>
          <w:lang w:eastAsia="et-EE" w:bidi="et-EE"/>
        </w:rPr>
        <w:t>FISCALISe programmi erieesmärk on toetada maksupettuste, maksudest kõrvalehoidumise ja agressiivse maksuplaneerimise vastast võitlust ning liidu õiguse rakendamist maksunduse valdkonnas, tagades teabevahetuse, toetades halduskoostööd ning, kui see on vajalik ja asjakohane, suurendades osalevate riikide haldussuutlikkust, eesmärgiga aidata vähendada maksuhaldurite halduskoormust ja nõuete täitmisega seotud maksumaksjate kulusid.</w:t>
      </w:r>
    </w:p>
    <w:p w:rsidR="001449F2" w:rsidRDefault="002324A9">
      <w:pPr>
        <w:pStyle w:val="Tex1"/>
        <w:rPr>
          <w:noProof/>
          <w:lang w:eastAsia="et-EE" w:bidi="et-EE"/>
        </w:rPr>
      </w:pPr>
      <w:r>
        <w:rPr>
          <w:noProof/>
          <w:lang w:eastAsia="et-EE" w:bidi="et-EE"/>
        </w:rPr>
        <w:lastRenderedPageBreak/>
        <w:t>Asjaomased tegevusalad vastavalt tegevuspõhise juhtimise ja eelarvestamise struktuurile</w:t>
      </w:r>
    </w:p>
    <w:p w:rsidR="001449F2" w:rsidRDefault="002324A9">
      <w:pPr>
        <w:pStyle w:val="Tex1"/>
        <w:rPr>
          <w:noProof/>
          <w:lang w:eastAsia="et-EE" w:bidi="et-EE"/>
        </w:rPr>
      </w:pPr>
      <w:r>
        <w:rPr>
          <w:noProof/>
          <w:lang w:eastAsia="et-EE" w:bidi="et-EE"/>
        </w:rPr>
        <w:t>ABB 3</w:t>
      </w:r>
    </w:p>
    <w:p w:rsidR="001449F2" w:rsidRDefault="002324A9">
      <w:pPr>
        <w:pStyle w:val="ManualHeading3"/>
        <w:rPr>
          <w:noProof/>
        </w:rPr>
      </w:pPr>
      <w:r>
        <w:rPr>
          <w:noProof/>
          <w:lang w:eastAsia="et-EE" w:bidi="et-EE"/>
        </w:rPr>
        <w:br w:type="page"/>
      </w:r>
      <w:r>
        <w:rPr>
          <w:noProof/>
        </w:rPr>
        <w:lastRenderedPageBreak/>
        <w:t>1.4.3.</w:t>
      </w:r>
      <w:r>
        <w:rPr>
          <w:noProof/>
        </w:rPr>
        <w:tab/>
      </w:r>
      <w:r>
        <w:rPr>
          <w:noProof/>
          <w:lang w:eastAsia="et-EE" w:bidi="et-EE"/>
        </w:rPr>
        <w:t>Oodatavad tulemused ja mõju</w:t>
      </w:r>
    </w:p>
    <w:p w:rsidR="001449F2" w:rsidRDefault="002324A9">
      <w:pPr>
        <w:ind w:left="850"/>
        <w:rPr>
          <w:i/>
          <w:noProof/>
          <w:sz w:val="20"/>
          <w:lang w:eastAsia="et-EE" w:bidi="et-EE"/>
        </w:rPr>
      </w:pPr>
      <w:r>
        <w:rPr>
          <w:i/>
          <w:noProof/>
          <w:sz w:val="20"/>
          <w:lang w:eastAsia="et-EE" w:bidi="et-EE"/>
        </w:rPr>
        <w:t>Täpsustage, milline peaks olema ettepaneku/algatuse oodatav mõju abisaajatele/sihtrühmale.</w:t>
      </w:r>
    </w:p>
    <w:p w:rsidR="001449F2" w:rsidRDefault="002324A9">
      <w:pPr>
        <w:pStyle w:val="Tex1"/>
        <w:rPr>
          <w:noProof/>
          <w:lang w:eastAsia="et-EE" w:bidi="et-EE"/>
        </w:rPr>
      </w:pPr>
      <w:r>
        <w:rPr>
          <w:noProof/>
          <w:lang w:eastAsia="et-EE" w:bidi="et-EE"/>
        </w:rPr>
        <w:t xml:space="preserve">Esiteks tähendab riikide lõikes esitatava aruandluse automaatne vahetamine liikmesriikide vahel seda, et kõik liikmesriigid on võimelised õigesti hindama, kas rahvusvahelised kontsernid tegelevad agressiivse maksuplaneerimisega, ja vastavalt reageerima. </w:t>
      </w:r>
    </w:p>
    <w:p w:rsidR="001449F2" w:rsidRDefault="002324A9">
      <w:pPr>
        <w:pStyle w:val="Tex1"/>
        <w:rPr>
          <w:noProof/>
          <w:lang w:eastAsia="et-EE" w:bidi="et-EE"/>
        </w:rPr>
      </w:pPr>
      <w:r>
        <w:rPr>
          <w:noProof/>
          <w:lang w:eastAsia="et-EE" w:bidi="et-EE"/>
        </w:rPr>
        <w:t xml:space="preserve">Teiseks peaks suurem läbipaistvus soodustama õiglasema maksukonkurentsi tekkimist. Riikide lõikes esitatavate aruannete automaatne vahetamine võib ka takistada ettevõtjatel agressiivset maksuplaneerimist, sest teistel liikmesriikidel on nüüd kunstlike skeemide ja kasumi ümberpaigutamise avastamiseks ja sellele reageerimiseks vajalik teave. </w:t>
      </w:r>
    </w:p>
    <w:p w:rsidR="001449F2" w:rsidRDefault="002324A9">
      <w:pPr>
        <w:pStyle w:val="ManualHeading3"/>
        <w:rPr>
          <w:noProof/>
        </w:rPr>
      </w:pPr>
      <w:r>
        <w:rPr>
          <w:noProof/>
        </w:rPr>
        <w:t>1.4.4.</w:t>
      </w:r>
      <w:r>
        <w:rPr>
          <w:noProof/>
        </w:rPr>
        <w:tab/>
      </w:r>
      <w:r>
        <w:rPr>
          <w:noProof/>
          <w:lang w:eastAsia="et-EE" w:bidi="et-EE"/>
        </w:rPr>
        <w:t xml:space="preserve">Tulemus- ja mõjunäitajad </w:t>
      </w:r>
    </w:p>
    <w:p w:rsidR="001449F2" w:rsidRDefault="002324A9">
      <w:pPr>
        <w:pStyle w:val="Text1"/>
        <w:rPr>
          <w:noProof/>
          <w:lang w:eastAsia="et-EE" w:bidi="et-EE"/>
        </w:rPr>
      </w:pPr>
      <w:r>
        <w:rPr>
          <w:noProof/>
          <w:lang w:eastAsia="et-EE" w:bidi="et-EE"/>
        </w:rPr>
        <w:t>Täpsustage, milliste näitajate alusel hinnatakse ettepaneku/algatuse elluviimist.</w:t>
      </w:r>
    </w:p>
    <w:p w:rsidR="001449F2" w:rsidRDefault="002324A9">
      <w:pPr>
        <w:pStyle w:val="Tex1"/>
        <w:rPr>
          <w:noProof/>
          <w:lang w:eastAsia="et-EE" w:bidi="et-EE"/>
        </w:rPr>
      </w:pPr>
      <w:r>
        <w:rPr>
          <w:noProof/>
          <w:lang w:eastAsia="et-EE" w:bidi="et-EE"/>
        </w:rPr>
        <w:t xml:space="preserve">Ettepaneku kohaldamisalasse kuuluvad ka muudetava direktiivi (st direktiiv 2011/16) nõuded, mis käsitlevad liikmesriikide igal aastal koostatavat hinnangut automaatse teabevahetuse tõhususe kohta. </w:t>
      </w:r>
    </w:p>
    <w:p w:rsidR="001449F2" w:rsidRDefault="002324A9">
      <w:pPr>
        <w:pStyle w:val="ManualHeading2"/>
        <w:rPr>
          <w:bCs/>
          <w:noProof/>
          <w:szCs w:val="24"/>
        </w:rPr>
      </w:pPr>
      <w:r>
        <w:rPr>
          <w:noProof/>
        </w:rPr>
        <w:t>1.5.</w:t>
      </w:r>
      <w:r>
        <w:rPr>
          <w:noProof/>
        </w:rPr>
        <w:tab/>
      </w:r>
      <w:r>
        <w:rPr>
          <w:noProof/>
          <w:lang w:eastAsia="et-EE" w:bidi="et-EE"/>
        </w:rPr>
        <w:t xml:space="preserve">Ettepaneku/algatuse põhjendus </w:t>
      </w:r>
    </w:p>
    <w:p w:rsidR="001449F2" w:rsidRDefault="002324A9">
      <w:pPr>
        <w:pStyle w:val="ManualHeading3"/>
        <w:rPr>
          <w:noProof/>
        </w:rPr>
      </w:pPr>
      <w:r>
        <w:rPr>
          <w:noProof/>
        </w:rPr>
        <w:t>1.5.1.</w:t>
      </w:r>
      <w:r>
        <w:rPr>
          <w:noProof/>
        </w:rPr>
        <w:tab/>
      </w:r>
      <w:r>
        <w:rPr>
          <w:noProof/>
          <w:lang w:eastAsia="et-EE" w:bidi="et-EE"/>
        </w:rPr>
        <w:t xml:space="preserve">Lühi- või pikaajalises perspektiivis täidetavad vajadused </w:t>
      </w:r>
    </w:p>
    <w:p w:rsidR="001449F2" w:rsidRDefault="002324A9">
      <w:pPr>
        <w:pStyle w:val="Tex1"/>
        <w:rPr>
          <w:noProof/>
          <w:lang w:eastAsia="et-EE" w:bidi="et-EE"/>
        </w:rPr>
      </w:pPr>
      <w:r>
        <w:rPr>
          <w:noProof/>
          <w:lang w:eastAsia="et-EE" w:bidi="et-EE"/>
        </w:rPr>
        <w:t xml:space="preserve">Käesoleva ettepaneku kohaselt peaksid liikmesriigid, kui nad on saanud aruande riikide lõikes, jagama teavet liikmesriikidega, mille kohta on aruandes sisalduva teabe alusel teada, et ettevõtja on liikmesriigi maksuresident või maksukohustuslane seoses püsiva tegevuskoha kaudu tehtava äriga. </w:t>
      </w:r>
    </w:p>
    <w:p w:rsidR="001449F2" w:rsidRDefault="002324A9">
      <w:pPr>
        <w:pStyle w:val="ManualHeading3"/>
        <w:rPr>
          <w:noProof/>
        </w:rPr>
      </w:pPr>
      <w:r>
        <w:rPr>
          <w:noProof/>
        </w:rPr>
        <w:t>1.5.2.</w:t>
      </w:r>
      <w:r>
        <w:rPr>
          <w:noProof/>
        </w:rPr>
        <w:tab/>
      </w:r>
      <w:r>
        <w:rPr>
          <w:noProof/>
          <w:lang w:eastAsia="et-EE" w:bidi="et-EE"/>
        </w:rPr>
        <w:t>Euroopa Liidu meetme lisandväärtus</w:t>
      </w:r>
    </w:p>
    <w:p w:rsidR="001449F2" w:rsidRDefault="002324A9">
      <w:pPr>
        <w:pStyle w:val="Tex1"/>
        <w:rPr>
          <w:noProof/>
          <w:lang w:eastAsia="et-EE" w:bidi="et-EE"/>
        </w:rPr>
      </w:pPr>
      <w:r>
        <w:rPr>
          <w:noProof/>
          <w:lang w:eastAsia="et-EE" w:bidi="et-EE"/>
        </w:rPr>
        <w:t>ELi algatus tagab sidusa, järjepideva ja kõikehõlmava üleliidulise lähenemisviisi automaatsele teabevahetusele kogu siseturul. See tähendaks ühtset lähenemisviisi teabe esitamisele kõigis liikmesriikides, mis tooks kaasa kulude kokkuhoiu nii maksuametite kui ka ettevõtjate jaoks.</w:t>
      </w:r>
    </w:p>
    <w:p w:rsidR="001449F2" w:rsidRDefault="002324A9">
      <w:pPr>
        <w:pStyle w:val="Tex1"/>
        <w:rPr>
          <w:noProof/>
          <w:lang w:eastAsia="et-EE" w:bidi="et-EE"/>
        </w:rPr>
      </w:pPr>
      <w:r>
        <w:rPr>
          <w:noProof/>
          <w:lang w:eastAsia="et-EE" w:bidi="et-EE"/>
        </w:rPr>
        <w:t>ELi õigusakt tagaks ka õiguskindluse nii maksuametite kui ka ELi tegutsevatele äriühingutele, aitaks kaasa riikide lõikes esitatavate aruannete automaatse teabevahetuse rahvusvahelise standardi arendamisele, mida arutati ja mis kiideti heaks OECDs, ning hõlmaks juba kasutuses olevate või väljatöötatavate IT-lahenduste kasutamist, mis muudab halduskoostöö direktiivi kohase teabe esitamise lihtsamaks. Käesoleva direktiivi alusel vahetavad ELi liikmesriigid spetsiaalse sidekanali kaudu teavet kindlates vormingutes. Neid vorminguid oleks lihtne laiendada, nii et need oleksid kasutatavad ka täiendavate teabekategooriate puhul, mida käesolevas ettepanekus soovitakse kaasata. Kuivõrd liikmesriigid on investeerinud nende vormingute väljaarendamisse märkimisväärsel hulgal aega ja raha, saavutataks sellega mastaabisääst, kui liikmesriigid vahetaksid teavet ka uute tululiikide kohta neidsamu vorminguid kasutades;</w:t>
      </w:r>
    </w:p>
    <w:p w:rsidR="001449F2" w:rsidRDefault="002324A9">
      <w:pPr>
        <w:pStyle w:val="ManualHeading3"/>
        <w:rPr>
          <w:bCs/>
          <w:noProof/>
          <w:szCs w:val="24"/>
        </w:rPr>
      </w:pPr>
      <w:r>
        <w:rPr>
          <w:noProof/>
        </w:rPr>
        <w:lastRenderedPageBreak/>
        <w:t>1.5.3.</w:t>
      </w:r>
      <w:r>
        <w:rPr>
          <w:noProof/>
        </w:rPr>
        <w:tab/>
      </w:r>
      <w:r>
        <w:rPr>
          <w:noProof/>
          <w:lang w:eastAsia="et-EE" w:bidi="et-EE"/>
        </w:rPr>
        <w:t>Samalaadsetest kogemustest saadud õppetunnid</w:t>
      </w:r>
    </w:p>
    <w:p w:rsidR="001449F2" w:rsidRDefault="002324A9">
      <w:pPr>
        <w:pStyle w:val="Tex1"/>
        <w:rPr>
          <w:noProof/>
          <w:lang w:eastAsia="et-EE" w:bidi="et-EE"/>
        </w:rPr>
      </w:pPr>
      <w:r>
        <w:rPr>
          <w:noProof/>
          <w:lang w:eastAsia="et-EE" w:bidi="et-EE"/>
        </w:rPr>
        <w:t>Maksuametite vaheline automaatne teabevahetus teistes maksundusvaldkondades (nt hoiuste intressid) on andnud häid tulemusi. Automaatset teabevahetust tunnustatakse nüüd ülemaailmselt kui parimat maksuametite käsutuses olevat vahendit maksustamise vältimise ja maksudest kõrvalehoidumise ning agressiivse maksuplaneerimise vastu võitlemisel.</w:t>
      </w:r>
    </w:p>
    <w:p w:rsidR="001449F2" w:rsidRDefault="002324A9">
      <w:pPr>
        <w:pStyle w:val="ManualHeading3"/>
        <w:rPr>
          <w:bCs/>
          <w:noProof/>
          <w:szCs w:val="24"/>
        </w:rPr>
      </w:pPr>
      <w:r>
        <w:rPr>
          <w:noProof/>
        </w:rPr>
        <w:t>1.5.4.</w:t>
      </w:r>
      <w:r>
        <w:rPr>
          <w:noProof/>
        </w:rPr>
        <w:tab/>
      </w:r>
      <w:r>
        <w:rPr>
          <w:noProof/>
          <w:lang w:eastAsia="et-EE" w:bidi="et-EE"/>
        </w:rPr>
        <w:t>Kooskõla ja võimalik koostoime muude asjaomaste meetmetega</w:t>
      </w:r>
    </w:p>
    <w:p w:rsidR="001449F2" w:rsidRDefault="002324A9">
      <w:pPr>
        <w:pStyle w:val="Tex1"/>
        <w:rPr>
          <w:noProof/>
          <w:lang w:eastAsia="et-EE" w:bidi="et-EE"/>
        </w:rPr>
      </w:pPr>
      <w:r>
        <w:rPr>
          <w:noProof/>
          <w:lang w:eastAsia="et-EE" w:bidi="et-EE"/>
        </w:rPr>
        <w:t>Kuna ettepanek on koostatud halduskoostöö direktiivi (2011/16/EL) muutmiseks, saab käesoleva ettepaneku eesmärkide saavutamiseks kasutada kõnealuse direktiivi raames juba loodud või väljatöötamisel olevaid menetlusi, kokkuleppeid ja IT-vahendeid.</w:t>
      </w:r>
    </w:p>
    <w:p w:rsidR="001449F2" w:rsidRDefault="002324A9">
      <w:pPr>
        <w:pStyle w:val="ManualHeading2"/>
        <w:rPr>
          <w:bCs/>
          <w:noProof/>
          <w:szCs w:val="24"/>
        </w:rPr>
      </w:pPr>
      <w:r>
        <w:rPr>
          <w:noProof/>
          <w:lang w:eastAsia="et-EE" w:bidi="et-EE"/>
        </w:rPr>
        <w:br w:type="page"/>
      </w:r>
      <w:r>
        <w:rPr>
          <w:noProof/>
        </w:rPr>
        <w:lastRenderedPageBreak/>
        <w:t>1.6.</w:t>
      </w:r>
      <w:r>
        <w:rPr>
          <w:noProof/>
        </w:rPr>
        <w:tab/>
      </w:r>
      <w:r>
        <w:rPr>
          <w:noProof/>
          <w:lang w:eastAsia="et-EE" w:bidi="et-EE"/>
        </w:rPr>
        <w:t xml:space="preserve">Meetme kestus ja finantsmõju </w:t>
      </w:r>
    </w:p>
    <w:p w:rsidR="001449F2" w:rsidRDefault="002324A9">
      <w:pPr>
        <w:pStyle w:val="Text1"/>
        <w:rPr>
          <w:noProof/>
          <w:lang w:eastAsia="et-EE" w:bidi="et-EE"/>
        </w:rPr>
      </w:pPr>
      <w:r>
        <w:rPr>
          <w:noProof/>
          <w:lang w:eastAsia="et-EE" w:bidi="et-EE"/>
        </w:rPr>
        <w:sym w:font="Wingdings" w:char="F0A8"/>
      </w:r>
      <w:r>
        <w:rPr>
          <w:b/>
          <w:i/>
          <w:noProof/>
          <w:lang w:eastAsia="et-EE" w:bidi="et-EE"/>
        </w:rPr>
        <w:t xml:space="preserve"> </w:t>
      </w:r>
      <w:r>
        <w:rPr>
          <w:b/>
          <w:noProof/>
          <w:lang w:eastAsia="et-EE" w:bidi="et-EE"/>
        </w:rPr>
        <w:t>limited duration</w:t>
      </w:r>
      <w:r>
        <w:rPr>
          <w:noProof/>
          <w:lang w:eastAsia="et-EE" w:bidi="et-EE"/>
        </w:rPr>
        <w:t xml:space="preserve"> ettepanek/algatus</w:t>
      </w:r>
      <w:r>
        <w:rPr>
          <w:b/>
          <w:noProof/>
          <w:lang w:eastAsia="et-EE" w:bidi="et-EE"/>
        </w:rPr>
        <w:t xml:space="preserve"> </w:t>
      </w:r>
    </w:p>
    <w:p w:rsidR="001449F2" w:rsidRDefault="002324A9">
      <w:pPr>
        <w:pStyle w:val="ListDash2"/>
        <w:rPr>
          <w:noProof/>
          <w:lang w:bidi="et-EE"/>
        </w:rPr>
      </w:pPr>
      <w:r>
        <w:rPr>
          <w:noProof/>
          <w:lang w:bidi="et-EE"/>
        </w:rPr>
        <w:sym w:font="Wingdings" w:char="F0A8"/>
      </w:r>
      <w:r>
        <w:rPr>
          <w:noProof/>
          <w:lang w:bidi="et-EE"/>
        </w:rPr>
        <w:t xml:space="preserve">Ettepanek/algatus hõlmab ajavahemikku [PP/KK]AAAA–[PP/KK]AAAA </w:t>
      </w:r>
    </w:p>
    <w:p w:rsidR="001449F2" w:rsidRDefault="002324A9">
      <w:pPr>
        <w:pStyle w:val="ListDash2"/>
        <w:rPr>
          <w:noProof/>
          <w:lang w:bidi="et-EE"/>
        </w:rPr>
      </w:pPr>
      <w:r>
        <w:rPr>
          <w:noProof/>
          <w:lang w:bidi="et-EE"/>
        </w:rPr>
        <w:sym w:font="Wingdings" w:char="F0A8"/>
      </w:r>
      <w:r>
        <w:rPr>
          <w:noProof/>
          <w:lang w:bidi="et-EE"/>
        </w:rPr>
        <w:t xml:space="preserve">Finantsmõju avaldub ajavahemikul AAAA–AAAA </w:t>
      </w:r>
    </w:p>
    <w:p w:rsidR="001449F2" w:rsidRDefault="002324A9">
      <w:pPr>
        <w:pStyle w:val="Text1"/>
        <w:rPr>
          <w:noProof/>
          <w:lang w:eastAsia="et-EE" w:bidi="et-EE"/>
        </w:rPr>
      </w:pPr>
      <w:r>
        <w:rPr>
          <w:noProof/>
          <w:lang w:eastAsia="et-EE" w:bidi="et-EE"/>
        </w:rPr>
        <w:sym w:font="Wingdings" w:char="F0FD"/>
      </w:r>
      <w:r>
        <w:rPr>
          <w:i/>
          <w:noProof/>
          <w:lang w:eastAsia="et-EE" w:bidi="et-EE"/>
        </w:rPr>
        <w:t xml:space="preserve"> </w:t>
      </w:r>
      <w:r>
        <w:rPr>
          <w:noProof/>
          <w:lang w:eastAsia="et-EE" w:bidi="et-EE"/>
        </w:rPr>
        <w:t>Piiramatu kestusega ettepanek/algatus</w:t>
      </w:r>
    </w:p>
    <w:p w:rsidR="001449F2" w:rsidRDefault="002324A9">
      <w:pPr>
        <w:pStyle w:val="ListDash1"/>
        <w:rPr>
          <w:noProof/>
          <w:lang w:bidi="et-EE"/>
        </w:rPr>
      </w:pPr>
      <w:r>
        <w:rPr>
          <w:noProof/>
          <w:lang w:bidi="et-EE"/>
        </w:rPr>
        <w:t>Rakendamise käivitumisperiood hõlmab ajavahemikku AAAA–AAAA,</w:t>
      </w:r>
    </w:p>
    <w:p w:rsidR="001449F2" w:rsidRDefault="002324A9">
      <w:pPr>
        <w:pStyle w:val="ListDash1"/>
        <w:rPr>
          <w:noProof/>
          <w:lang w:bidi="et-EE"/>
        </w:rPr>
      </w:pPr>
      <w:r>
        <w:rPr>
          <w:noProof/>
          <w:lang w:bidi="et-EE"/>
        </w:rPr>
        <w:t>Ettepanek jõustub alates 1. jaanuarist 2017,</w:t>
      </w:r>
    </w:p>
    <w:p w:rsidR="001449F2" w:rsidRDefault="002324A9">
      <w:pPr>
        <w:pStyle w:val="ListDash1"/>
        <w:rPr>
          <w:noProof/>
          <w:lang w:bidi="et-EE"/>
        </w:rPr>
      </w:pPr>
      <w:r>
        <w:rPr>
          <w:noProof/>
          <w:lang w:bidi="et-EE"/>
        </w:rPr>
        <w:t>millele järgneb täieulatuslik rakendamine.</w:t>
      </w:r>
    </w:p>
    <w:p w:rsidR="001449F2" w:rsidRDefault="002324A9">
      <w:pPr>
        <w:pStyle w:val="ManualHeading2"/>
        <w:rPr>
          <w:bCs/>
          <w:noProof/>
          <w:szCs w:val="24"/>
        </w:rPr>
      </w:pPr>
      <w:r>
        <w:rPr>
          <w:noProof/>
        </w:rPr>
        <w:t>1.7.</w:t>
      </w:r>
      <w:r>
        <w:rPr>
          <w:noProof/>
        </w:rPr>
        <w:tab/>
      </w:r>
      <w:r>
        <w:rPr>
          <w:noProof/>
          <w:lang w:eastAsia="et-EE" w:bidi="et-EE"/>
        </w:rPr>
        <w:t>Kavandatud eelarve täitmise viisid</w:t>
      </w:r>
      <w:r>
        <w:rPr>
          <w:rStyle w:val="FootnoteReference"/>
          <w:noProof/>
        </w:rPr>
        <w:footnoteReference w:id="13"/>
      </w:r>
      <w:r>
        <w:rPr>
          <w:noProof/>
          <w:vertAlign w:val="superscript"/>
          <w:lang w:eastAsia="et-EE" w:bidi="et-EE"/>
        </w:rPr>
        <w:t xml:space="preserve"> </w:t>
      </w:r>
    </w:p>
    <w:p w:rsidR="001449F2" w:rsidRDefault="002324A9">
      <w:pPr>
        <w:pStyle w:val="Text1"/>
        <w:rPr>
          <w:noProof/>
          <w:lang w:eastAsia="et-EE" w:bidi="et-EE"/>
        </w:rPr>
      </w:pPr>
      <w:r>
        <w:rPr>
          <w:noProof/>
          <w:lang w:eastAsia="et-EE" w:bidi="et-EE"/>
        </w:rPr>
        <w:sym w:font="Wingdings" w:char="F0FD"/>
      </w:r>
      <w:r>
        <w:rPr>
          <w:i/>
          <w:noProof/>
          <w:lang w:eastAsia="et-EE" w:bidi="et-EE"/>
        </w:rPr>
        <w:t xml:space="preserve"> </w:t>
      </w:r>
      <w:r>
        <w:rPr>
          <w:noProof/>
          <w:lang w:eastAsia="et-EE" w:bidi="et-EE"/>
        </w:rPr>
        <w:t>Otsene eelarve täitmine komisjoni poolt</w:t>
      </w:r>
    </w:p>
    <w:p w:rsidR="001449F2" w:rsidRDefault="002324A9">
      <w:pPr>
        <w:pStyle w:val="ListDash1"/>
        <w:rPr>
          <w:rFonts w:cs="EUAlbertina"/>
          <w:noProof/>
          <w:lang w:bidi="et-EE"/>
        </w:rPr>
      </w:pPr>
      <w:r>
        <w:rPr>
          <w:noProof/>
          <w:lang w:bidi="et-EE"/>
        </w:rPr>
        <w:sym w:font="Wingdings" w:char="F0FD"/>
      </w:r>
      <w:r>
        <w:rPr>
          <w:noProof/>
          <w:lang w:bidi="et-EE"/>
        </w:rPr>
        <w:t>komisjoni talituste, sealhulgas tema töötajate kaudu liidu delegatsioonides; Fiscalis 2020 programmi eelarvet täidetakse otseselt.</w:t>
      </w:r>
    </w:p>
    <w:p w:rsidR="001449F2" w:rsidRDefault="002324A9">
      <w:pPr>
        <w:pStyle w:val="ListDash2"/>
        <w:rPr>
          <w:noProof/>
          <w:lang w:bidi="et-EE"/>
        </w:rPr>
      </w:pPr>
      <w:r>
        <w:rPr>
          <w:noProof/>
          <w:lang w:bidi="et-EE"/>
        </w:rPr>
        <w:sym w:font="Wingdings" w:char="F0A8"/>
      </w:r>
      <w:r>
        <w:rPr>
          <w:noProof/>
          <w:lang w:bidi="et-EE"/>
        </w:rPr>
        <w:t xml:space="preserve">rakendusametite kaudu </w:t>
      </w:r>
    </w:p>
    <w:p w:rsidR="001449F2" w:rsidRDefault="002324A9">
      <w:pPr>
        <w:pStyle w:val="Text1"/>
        <w:rPr>
          <w:noProof/>
          <w:lang w:eastAsia="et-EE" w:bidi="et-EE"/>
        </w:rPr>
      </w:pPr>
      <w:r>
        <w:rPr>
          <w:noProof/>
          <w:lang w:eastAsia="et-EE" w:bidi="et-EE"/>
        </w:rPr>
        <w:sym w:font="Wingdings" w:char="F0A8"/>
      </w:r>
      <w:r>
        <w:rPr>
          <w:i/>
          <w:noProof/>
          <w:lang w:eastAsia="et-EE" w:bidi="et-EE"/>
        </w:rPr>
        <w:t xml:space="preserve"> </w:t>
      </w:r>
      <w:r>
        <w:rPr>
          <w:noProof/>
          <w:lang w:eastAsia="et-EE" w:bidi="et-EE"/>
        </w:rPr>
        <w:t xml:space="preserve">Eelarve täitmine koostöös liikmesriikidega </w:t>
      </w:r>
    </w:p>
    <w:p w:rsidR="001449F2" w:rsidRDefault="002324A9">
      <w:pPr>
        <w:pStyle w:val="Text1"/>
        <w:rPr>
          <w:noProof/>
          <w:lang w:eastAsia="et-EE" w:bidi="et-EE"/>
        </w:rPr>
      </w:pPr>
      <w:r>
        <w:rPr>
          <w:noProof/>
          <w:lang w:eastAsia="et-EE" w:bidi="et-EE"/>
        </w:rPr>
        <w:sym w:font="Wingdings" w:char="F0A8"/>
      </w:r>
      <w:r>
        <w:rPr>
          <w:noProof/>
          <w:lang w:eastAsia="et-EE" w:bidi="et-EE"/>
        </w:rPr>
        <w:t xml:space="preserve"> Kaudne eelarve täitmine, mille puhul eelarve täitmise ülesanded on usaldatud:</w:t>
      </w:r>
    </w:p>
    <w:p w:rsidR="001449F2" w:rsidRDefault="002324A9">
      <w:pPr>
        <w:pStyle w:val="ListDash2"/>
        <w:rPr>
          <w:noProof/>
          <w:lang w:bidi="et-EE"/>
        </w:rPr>
      </w:pPr>
      <w:r>
        <w:rPr>
          <w:noProof/>
          <w:lang w:bidi="et-EE"/>
        </w:rPr>
        <w:sym w:font="Wingdings" w:char="F0A8"/>
      </w:r>
      <w:r>
        <w:rPr>
          <w:noProof/>
          <w:lang w:bidi="et-EE"/>
        </w:rPr>
        <w:t xml:space="preserve"> kolmandatele riikidele või nende poolt määratud asutustele;</w:t>
      </w:r>
    </w:p>
    <w:p w:rsidR="001449F2" w:rsidRDefault="002324A9">
      <w:pPr>
        <w:pStyle w:val="ListDash2"/>
        <w:rPr>
          <w:noProof/>
          <w:lang w:bidi="et-EE"/>
        </w:rPr>
      </w:pPr>
      <w:r>
        <w:rPr>
          <w:noProof/>
          <w:lang w:bidi="et-EE"/>
        </w:rPr>
        <w:sym w:font="Wingdings" w:char="F0A8"/>
      </w:r>
      <w:r>
        <w:rPr>
          <w:noProof/>
          <w:lang w:bidi="et-EE"/>
        </w:rPr>
        <w:t xml:space="preserve"> rahvusvahelistele organisatsioonidele ja nende esindajatele (täpsustada);</w:t>
      </w:r>
    </w:p>
    <w:p w:rsidR="001449F2" w:rsidRDefault="002324A9">
      <w:pPr>
        <w:pStyle w:val="ListDash2"/>
        <w:rPr>
          <w:noProof/>
          <w:lang w:bidi="et-EE"/>
        </w:rPr>
      </w:pPr>
      <w:r>
        <w:rPr>
          <w:noProof/>
          <w:lang w:bidi="et-EE"/>
        </w:rPr>
        <w:sym w:font="Wingdings" w:char="F0A8"/>
      </w:r>
      <w:r>
        <w:rPr>
          <w:noProof/>
          <w:lang w:bidi="et-EE"/>
        </w:rPr>
        <w:t xml:space="preserve"> Euroopa Investeerimispangale (EIP) ja Euroopa Investeerimisfondile (EIF);</w:t>
      </w:r>
    </w:p>
    <w:p w:rsidR="001449F2" w:rsidRDefault="002324A9">
      <w:pPr>
        <w:pStyle w:val="ListDash2"/>
        <w:rPr>
          <w:noProof/>
          <w:lang w:bidi="et-EE"/>
        </w:rPr>
      </w:pPr>
      <w:r>
        <w:rPr>
          <w:noProof/>
          <w:lang w:bidi="et-EE"/>
        </w:rPr>
        <w:sym w:font="Wingdings" w:char="F0A8"/>
      </w:r>
      <w:r>
        <w:rPr>
          <w:noProof/>
          <w:lang w:bidi="et-EE"/>
        </w:rPr>
        <w:t xml:space="preserve"> finantsmääruse artiklites 208 ja 209 nimetatud asutustele;</w:t>
      </w:r>
    </w:p>
    <w:p w:rsidR="001449F2" w:rsidRDefault="002324A9">
      <w:pPr>
        <w:pStyle w:val="ListDash2"/>
        <w:rPr>
          <w:noProof/>
          <w:lang w:bidi="et-EE"/>
        </w:rPr>
      </w:pPr>
      <w:r>
        <w:rPr>
          <w:noProof/>
          <w:lang w:bidi="et-EE"/>
        </w:rPr>
        <w:sym w:font="Wingdings" w:char="F0A8"/>
      </w:r>
      <w:r>
        <w:rPr>
          <w:noProof/>
          <w:lang w:bidi="et-EE"/>
        </w:rPr>
        <w:t xml:space="preserve"> avalik-õiguslikele asutustele;</w:t>
      </w:r>
    </w:p>
    <w:p w:rsidR="001449F2" w:rsidRDefault="002324A9">
      <w:pPr>
        <w:pStyle w:val="ListDash2"/>
        <w:rPr>
          <w:noProof/>
          <w:lang w:bidi="et-EE"/>
        </w:rPr>
      </w:pPr>
      <w:r>
        <w:rPr>
          <w:noProof/>
          <w:lang w:bidi="et-EE"/>
        </w:rPr>
        <w:sym w:font="Wingdings" w:char="F0A8"/>
      </w:r>
      <w:r>
        <w:rPr>
          <w:noProof/>
          <w:lang w:bidi="et-EE"/>
        </w:rPr>
        <w:t xml:space="preserve"> avalikke teenuseid osutavatele eraõiguslikele asutustele, kuivõrd nad esitavad piisavad finantstagatised;</w:t>
      </w:r>
    </w:p>
    <w:p w:rsidR="001449F2" w:rsidRDefault="002324A9">
      <w:pPr>
        <w:pStyle w:val="ListDash2"/>
        <w:rPr>
          <w:noProof/>
          <w:lang w:bidi="et-EE"/>
        </w:rPr>
      </w:pPr>
      <w:r>
        <w:rPr>
          <w:noProof/>
          <w:lang w:bidi="et-EE"/>
        </w:rPr>
        <w:sym w:font="Wingdings" w:char="F0A8"/>
      </w:r>
      <w:r>
        <w:rPr>
          <w:noProof/>
          <w:lang w:bidi="et-EE"/>
        </w:rPr>
        <w:t xml:space="preserve"> liikmesriigi eraõigusega reguleeritud asutustele, kellele on delegeeritud avaliku ja erasektori partnerluse rakendamine ja kes esitavad piisavad finantstagatised;</w:t>
      </w:r>
    </w:p>
    <w:p w:rsidR="001449F2" w:rsidRDefault="002324A9">
      <w:pPr>
        <w:pStyle w:val="ListDash2"/>
        <w:rPr>
          <w:noProof/>
          <w:lang w:bidi="et-EE"/>
        </w:rPr>
      </w:pPr>
      <w:r>
        <w:rPr>
          <w:noProof/>
          <w:lang w:bidi="et-EE"/>
        </w:rPr>
        <w:sym w:font="Wingdings" w:char="F0A8"/>
      </w:r>
      <w:r>
        <w:rPr>
          <w:noProof/>
          <w:lang w:bidi="et-EE"/>
        </w:rPr>
        <w:t xml:space="preserve"> isikutele, kellele on delegeeritud ELi lepingu V jaotise kohaste ÜVJP erimeetmete rakendamine ja kes on kindlaks määratud asjaomases alusaktis.</w:t>
      </w:r>
    </w:p>
    <w:p w:rsidR="001449F2" w:rsidRDefault="002324A9">
      <w:pPr>
        <w:pStyle w:val="ListDash2"/>
        <w:rPr>
          <w:i/>
          <w:noProof/>
          <w:sz w:val="18"/>
          <w:u w:val="single"/>
          <w:lang w:bidi="et-EE"/>
        </w:rPr>
      </w:pPr>
      <w:r>
        <w:rPr>
          <w:i/>
          <w:noProof/>
          <w:sz w:val="18"/>
          <w:lang w:bidi="et-EE"/>
        </w:rPr>
        <w:t>Mitme eelarve täitmise viisi valimise korral esitage üksikasjad rubriigis „Märkused”.</w:t>
      </w:r>
    </w:p>
    <w:p w:rsidR="001449F2" w:rsidRDefault="002324A9">
      <w:pPr>
        <w:rPr>
          <w:noProof/>
          <w:lang w:eastAsia="et-EE" w:bidi="et-EE"/>
        </w:rPr>
      </w:pPr>
      <w:r>
        <w:rPr>
          <w:noProof/>
          <w:lang w:eastAsia="et-EE" w:bidi="et-EE"/>
        </w:rPr>
        <w:t xml:space="preserve">Märkused </w:t>
      </w:r>
    </w:p>
    <w:p w:rsidR="001449F2" w:rsidRDefault="002324A9">
      <w:pPr>
        <w:pBdr>
          <w:top w:val="single" w:sz="4" w:space="1" w:color="auto"/>
          <w:left w:val="single" w:sz="4" w:space="4" w:color="auto"/>
          <w:bottom w:val="single" w:sz="4" w:space="1" w:color="auto"/>
          <w:right w:val="single" w:sz="4" w:space="4" w:color="auto"/>
        </w:pBdr>
        <w:rPr>
          <w:noProof/>
          <w:lang w:eastAsia="et-EE" w:bidi="et-EE"/>
        </w:rPr>
      </w:pPr>
      <w:r>
        <w:rPr>
          <w:noProof/>
          <w:lang w:eastAsia="et-EE" w:bidi="et-EE"/>
        </w:rPr>
        <w:lastRenderedPageBreak/>
        <w:t>Haldusküsimustes ei toimuks käesoleva ettepaneku kohaselt mingeid muudatusi. Direktiivi 2011/16/EL artikli 21 kohaselt töötab komisjon koos liikmesriikidega komiteemenetluse korras välja teabevahetuse standardvormingud. Mis puudutab liikmesriikidevahelise teabevahetuse võimaldamiseks vajalikku CNN-võrku, siis vastutab komisjon CNN-võrgu kõigi arenduste eest, mida on vaja kõnealuse teabe vahetamise võimaldamiseks, samas kui liikmesriigid vastutavad kõigi oma süsteemi arenduste eest, mida on vaja kõnealuse teabe vahetamiseks CNN-võrgu kaudu.</w:t>
      </w:r>
    </w:p>
    <w:p w:rsidR="001449F2" w:rsidRDefault="001449F2">
      <w:pPr>
        <w:rPr>
          <w:noProof/>
          <w:lang w:eastAsia="et-EE" w:bidi="et-EE"/>
        </w:rPr>
        <w:sectPr w:rsidR="001449F2" w:rsidSect="002324A9">
          <w:pgSz w:w="11907" w:h="16840" w:code="9"/>
          <w:pgMar w:top="1134" w:right="1418" w:bottom="1134" w:left="1418" w:header="709" w:footer="709" w:gutter="0"/>
          <w:cols w:space="708"/>
          <w:docGrid w:linePitch="360"/>
        </w:sectPr>
      </w:pPr>
    </w:p>
    <w:p w:rsidR="001449F2" w:rsidRDefault="002324A9">
      <w:pPr>
        <w:pStyle w:val="ManualHeading1"/>
        <w:rPr>
          <w:bCs/>
          <w:noProof/>
          <w:szCs w:val="24"/>
        </w:rPr>
      </w:pPr>
      <w:r>
        <w:rPr>
          <w:noProof/>
        </w:rPr>
        <w:lastRenderedPageBreak/>
        <w:t>2.</w:t>
      </w:r>
      <w:r>
        <w:rPr>
          <w:noProof/>
        </w:rPr>
        <w:tab/>
      </w:r>
      <w:r>
        <w:rPr>
          <w:noProof/>
          <w:lang w:eastAsia="et-EE" w:bidi="et-EE"/>
        </w:rPr>
        <w:t xml:space="preserve">MAJANDAMISMEETMED </w:t>
      </w:r>
    </w:p>
    <w:p w:rsidR="001449F2" w:rsidRDefault="002324A9">
      <w:pPr>
        <w:pStyle w:val="ManualHeading2"/>
        <w:rPr>
          <w:noProof/>
        </w:rPr>
      </w:pPr>
      <w:r>
        <w:rPr>
          <w:noProof/>
        </w:rPr>
        <w:t>2.1.</w:t>
      </w:r>
      <w:r>
        <w:rPr>
          <w:noProof/>
        </w:rPr>
        <w:tab/>
      </w:r>
      <w:r>
        <w:rPr>
          <w:noProof/>
          <w:lang w:eastAsia="et-EE" w:bidi="et-EE"/>
        </w:rPr>
        <w:t xml:space="preserve">Järelevalve ja aruandluse eeskirjad </w:t>
      </w:r>
    </w:p>
    <w:p w:rsidR="001449F2" w:rsidRDefault="002324A9">
      <w:pPr>
        <w:pStyle w:val="Text1"/>
        <w:rPr>
          <w:noProof/>
          <w:u w:val="single"/>
          <w:lang w:eastAsia="et-EE" w:bidi="et-EE"/>
        </w:rPr>
      </w:pPr>
      <w:r>
        <w:rPr>
          <w:noProof/>
          <w:lang w:eastAsia="et-EE" w:bidi="et-EE"/>
        </w:rPr>
        <w:t>Täpsustage tingimused ja sagedus.</w:t>
      </w:r>
    </w:p>
    <w:p w:rsidR="001449F2" w:rsidRDefault="002324A9">
      <w:pPr>
        <w:pStyle w:val="Tex1"/>
        <w:rPr>
          <w:noProof/>
          <w:lang w:eastAsia="et-EE" w:bidi="et-EE"/>
        </w:rPr>
      </w:pPr>
      <w:r>
        <w:rPr>
          <w:noProof/>
          <w:lang w:eastAsia="et-EE" w:bidi="et-EE"/>
        </w:rPr>
        <w:t>Fiscalise programmi kohaselt toimub järelevalve ja aruandlus järgmiselt:</w:t>
      </w:r>
    </w:p>
    <w:p w:rsidR="001449F2" w:rsidRDefault="002324A9">
      <w:pPr>
        <w:pStyle w:val="Tex1"/>
        <w:rPr>
          <w:noProof/>
          <w:lang w:eastAsia="et-EE" w:bidi="et-EE"/>
        </w:rPr>
      </w:pPr>
      <w:r>
        <w:rPr>
          <w:noProof/>
          <w:lang w:eastAsia="et-EE" w:bidi="et-EE"/>
        </w:rPr>
        <w:t>Käesolevaks algatuseks vajalike ettevalmistusmeetmete ja muude ühismeetmete ning ühiste koolituste järelevalve toimub korrapäraselt osalejatelt ja meetme juhtidelt saadud tagasiside abil. Tagasisidet kogutakse standardvormide kaudu ja kasutatakse programmi „Fiscalis 2020” tulemuslikkuse hindamisraamistikuga (PMF) kehtestatud näitajates. Muude teabevahetusega seotud kulude järelevalve toimub punktis 1.4.4 kirjeldatud ja ühtlasi PMFi konsolideeritud mehhanismi alusel.</w:t>
      </w:r>
    </w:p>
    <w:p w:rsidR="001449F2" w:rsidRDefault="002324A9">
      <w:pPr>
        <w:pStyle w:val="ManualHeading2"/>
        <w:rPr>
          <w:bCs/>
          <w:noProof/>
          <w:szCs w:val="24"/>
        </w:rPr>
      </w:pPr>
      <w:r>
        <w:rPr>
          <w:noProof/>
        </w:rPr>
        <w:t>2.2.</w:t>
      </w:r>
      <w:r>
        <w:rPr>
          <w:noProof/>
        </w:rPr>
        <w:tab/>
      </w:r>
      <w:r>
        <w:rPr>
          <w:noProof/>
          <w:lang w:eastAsia="et-EE" w:bidi="et-EE"/>
        </w:rPr>
        <w:t xml:space="preserve">Haldus- ja kontrollisüsteemid </w:t>
      </w:r>
    </w:p>
    <w:p w:rsidR="001449F2" w:rsidRDefault="002324A9">
      <w:pPr>
        <w:pStyle w:val="ManualHeading3"/>
        <w:rPr>
          <w:noProof/>
        </w:rPr>
      </w:pPr>
      <w:r>
        <w:rPr>
          <w:noProof/>
        </w:rPr>
        <w:t>2.2.1.</w:t>
      </w:r>
      <w:r>
        <w:rPr>
          <w:noProof/>
        </w:rPr>
        <w:tab/>
      </w:r>
      <w:r>
        <w:rPr>
          <w:noProof/>
          <w:lang w:eastAsia="et-EE" w:bidi="et-EE"/>
        </w:rPr>
        <w:t xml:space="preserve">Tuvastatud ohud </w:t>
      </w:r>
    </w:p>
    <w:p w:rsidR="001449F2" w:rsidRDefault="002324A9">
      <w:pPr>
        <w:pStyle w:val="Tex1"/>
        <w:rPr>
          <w:noProof/>
          <w:lang w:eastAsia="et-EE" w:bidi="et-EE"/>
        </w:rPr>
      </w:pPr>
      <w:r>
        <w:rPr>
          <w:noProof/>
          <w:lang w:eastAsia="et-EE" w:bidi="et-EE"/>
        </w:rPr>
        <w:t>Võimalikud ohud algatuse rakendamiseks programmi „Fiscalis 2020” abil on seotud järgmisega:</w:t>
      </w:r>
    </w:p>
    <w:p w:rsidR="001449F2" w:rsidRDefault="002324A9">
      <w:pPr>
        <w:pStyle w:val="Tex1"/>
        <w:rPr>
          <w:noProof/>
          <w:lang w:eastAsia="et-EE" w:bidi="et-EE"/>
        </w:rPr>
      </w:pPr>
      <w:r>
        <w:rPr>
          <w:noProof/>
          <w:lang w:eastAsia="et-EE" w:bidi="et-EE"/>
        </w:rPr>
        <w:t>liikmesriikide ja kandidaatriikide konsortsiumiga sõlmitud toetuslepingu rakendamine;</w:t>
      </w:r>
    </w:p>
    <w:p w:rsidR="001449F2" w:rsidRDefault="002324A9">
      <w:pPr>
        <w:pStyle w:val="Tex1"/>
        <w:rPr>
          <w:noProof/>
          <w:lang w:eastAsia="et-EE" w:bidi="et-EE"/>
        </w:rPr>
      </w:pPr>
      <w:r>
        <w:rPr>
          <w:noProof/>
          <w:lang w:eastAsia="et-EE" w:bidi="et-EE"/>
        </w:rPr>
        <w:t>programmi raames sõlmitud hankelepingute rakendamine.</w:t>
      </w:r>
    </w:p>
    <w:p w:rsidR="001449F2" w:rsidRDefault="002324A9">
      <w:pPr>
        <w:pStyle w:val="ManualHeading3"/>
        <w:rPr>
          <w:bCs/>
          <w:noProof/>
          <w:szCs w:val="24"/>
        </w:rPr>
      </w:pPr>
      <w:r>
        <w:rPr>
          <w:noProof/>
        </w:rPr>
        <w:t>2.2.2.</w:t>
      </w:r>
      <w:r>
        <w:rPr>
          <w:noProof/>
        </w:rPr>
        <w:tab/>
      </w:r>
      <w:r>
        <w:rPr>
          <w:noProof/>
          <w:lang w:eastAsia="et-EE" w:bidi="et-EE"/>
        </w:rPr>
        <w:t>Teave loodud sisekontrollisüsteemi kohta</w:t>
      </w:r>
    </w:p>
    <w:p w:rsidR="001449F2" w:rsidRDefault="002324A9">
      <w:pPr>
        <w:pStyle w:val="Tex1"/>
        <w:rPr>
          <w:noProof/>
          <w:lang w:eastAsia="et-EE" w:bidi="et-EE"/>
        </w:rPr>
      </w:pPr>
      <w:r>
        <w:rPr>
          <w:noProof/>
          <w:lang w:eastAsia="et-EE" w:bidi="et-EE"/>
        </w:rPr>
        <w:t>Sisekontrollisüsteemi ülesehitus on samasugune kui programmil „Fiscalis2020” ja hõlmab kõiki algatusega seotud tegevuskulusid.</w:t>
      </w:r>
    </w:p>
    <w:p w:rsidR="001449F2" w:rsidRDefault="002324A9">
      <w:pPr>
        <w:pStyle w:val="Tex1"/>
        <w:rPr>
          <w:noProof/>
          <w:lang w:eastAsia="et-EE" w:bidi="et-EE"/>
        </w:rPr>
      </w:pPr>
      <w:r>
        <w:rPr>
          <w:noProof/>
          <w:lang w:eastAsia="et-EE" w:bidi="et-EE"/>
        </w:rPr>
        <w:t>Kontrollistrateegia peamised kohaldatavad elemendid on:</w:t>
      </w:r>
    </w:p>
    <w:p w:rsidR="001449F2" w:rsidRDefault="002324A9">
      <w:pPr>
        <w:pStyle w:val="Tex1"/>
        <w:rPr>
          <w:noProof/>
          <w:lang w:eastAsia="et-EE" w:bidi="et-EE"/>
        </w:rPr>
      </w:pPr>
      <w:r>
        <w:rPr>
          <w:noProof/>
          <w:lang w:eastAsia="et-EE" w:bidi="et-EE"/>
        </w:rPr>
        <w:t xml:space="preserve">Hankelepingute puhul </w:t>
      </w:r>
    </w:p>
    <w:p w:rsidR="001449F2" w:rsidRDefault="002324A9">
      <w:pPr>
        <w:pStyle w:val="Tex1"/>
        <w:rPr>
          <w:noProof/>
          <w:lang w:eastAsia="et-EE" w:bidi="et-EE"/>
        </w:rPr>
      </w:pPr>
      <w:r>
        <w:rPr>
          <w:noProof/>
          <w:lang w:eastAsia="et-EE" w:bidi="et-EE"/>
        </w:rPr>
        <w:t xml:space="preserve">Kohaldatakse finantsmääruses kindlaks määratud hangete kontrolli menetlusi. Kõik hankelepingud sõlmitakse maksete eest vastutavate komisjoni talituste kehtestatud kontrollimenetluse kohaselt, võttes arvesse lepingulisi kohustusi ning usaldusväärset finants- ja üldist juhtimist. Kõikides komisjoni ja toetusesaajate vahel sõlmitud lepingutes sätestatakse pettusevastased meetmed (kontroll, aruanded jne). Iga üksiku lepingu puhul sätestatakse lepingu aluseks olevad üksikasjalikud tingimused. Vastuvõtmisel järgitakse rangelt maksunduse ja tolliliidu peadirektoraadi elektroonilise projektihaldusvahendi (TEMPO) metoodikat: tulemused vaadatakse läbi, muudetakse vajaduse korral ja lõpuks kiidetakse sõnaselgelt heaks (või lükatakse tagasi). Ilma „kinnituskirjata” ei maksta ühtegi arvet. </w:t>
      </w:r>
    </w:p>
    <w:p w:rsidR="001449F2" w:rsidRDefault="002324A9">
      <w:pPr>
        <w:pStyle w:val="Tex1"/>
        <w:rPr>
          <w:noProof/>
          <w:lang w:eastAsia="et-EE" w:bidi="et-EE"/>
        </w:rPr>
      </w:pPr>
      <w:r>
        <w:rPr>
          <w:noProof/>
          <w:lang w:eastAsia="et-EE" w:bidi="et-EE"/>
        </w:rPr>
        <w:t>Hanke tehniline kontroll</w:t>
      </w:r>
    </w:p>
    <w:p w:rsidR="001449F2" w:rsidRDefault="002324A9">
      <w:pPr>
        <w:pStyle w:val="Tex1"/>
        <w:rPr>
          <w:noProof/>
          <w:lang w:eastAsia="et-EE" w:bidi="et-EE"/>
        </w:rPr>
      </w:pPr>
      <w:r>
        <w:rPr>
          <w:noProof/>
          <w:lang w:eastAsia="et-EE" w:bidi="et-EE"/>
        </w:rPr>
        <w:t xml:space="preserve">Maksunduse ja tolliliidu peadirektoraat kontrollib tulemusi ja teostab järelevalvet töövõtjate tegevuse ja teenuste üle. Samuti teeb ta korrapäraselt töövõtjate kvaliteedi- </w:t>
      </w:r>
      <w:r>
        <w:rPr>
          <w:noProof/>
          <w:lang w:eastAsia="et-EE" w:bidi="et-EE"/>
        </w:rPr>
        <w:lastRenderedPageBreak/>
        <w:t xml:space="preserve">ja turbeauditeid. Kvaliteediauditi käigus kontrollitakse töövõtja tegelike tööprotsesside vastavust kvaliteedikavas kindlaks määratud eeskirjadele ja menetlustele. Turbeaudit keskendub konkreetsetele protsessidele, menetlustele ja korrale. </w:t>
      </w:r>
    </w:p>
    <w:p w:rsidR="001449F2" w:rsidRDefault="002324A9">
      <w:pPr>
        <w:pStyle w:val="Tex1"/>
        <w:rPr>
          <w:noProof/>
          <w:lang w:eastAsia="et-EE" w:bidi="et-EE"/>
        </w:rPr>
      </w:pPr>
      <w:r>
        <w:rPr>
          <w:noProof/>
          <w:lang w:eastAsia="et-EE" w:bidi="et-EE"/>
        </w:rPr>
        <w:t xml:space="preserve">Lisaks eespool nimetatud kontrollile teeb maksunduse ja tolliliidu peadirektoraat järgmisi tavapäraseid finantskontrolle: </w:t>
      </w:r>
    </w:p>
    <w:p w:rsidR="001449F2" w:rsidRDefault="002324A9">
      <w:pPr>
        <w:pStyle w:val="Tex1"/>
        <w:rPr>
          <w:noProof/>
          <w:lang w:eastAsia="et-EE" w:bidi="et-EE"/>
        </w:rPr>
      </w:pPr>
      <w:r>
        <w:rPr>
          <w:noProof/>
          <w:lang w:eastAsia="et-EE" w:bidi="et-EE"/>
        </w:rPr>
        <w:t xml:space="preserve">kulukohustuste eelkontroll: </w:t>
      </w:r>
    </w:p>
    <w:p w:rsidR="001449F2" w:rsidRDefault="002324A9">
      <w:pPr>
        <w:pStyle w:val="Tex1"/>
        <w:rPr>
          <w:noProof/>
          <w:lang w:eastAsia="et-EE" w:bidi="et-EE"/>
        </w:rPr>
      </w:pPr>
      <w:r>
        <w:rPr>
          <w:noProof/>
          <w:lang w:eastAsia="et-EE" w:bidi="et-EE"/>
        </w:rPr>
        <w:t>maksunduse ja tolliliidu peadirektoraadis kontrollib kõiki kulukohustusi personali- või finantstalituse juhataja. Järelikult hõlmab eelkontroll määratud summasid 100 % ulatuses. Kõnealune menetlus annab kindluse tehingute õiguspärasuse ja korrektsuse suhtes;</w:t>
      </w:r>
    </w:p>
    <w:p w:rsidR="001449F2" w:rsidRDefault="002324A9">
      <w:pPr>
        <w:pStyle w:val="Tex1"/>
        <w:rPr>
          <w:noProof/>
          <w:lang w:eastAsia="et-EE" w:bidi="et-EE"/>
        </w:rPr>
      </w:pPr>
      <w:r>
        <w:rPr>
          <w:noProof/>
          <w:lang w:eastAsia="et-EE" w:bidi="et-EE"/>
        </w:rPr>
        <w:t xml:space="preserve">maksete eelkontroll: </w:t>
      </w:r>
    </w:p>
    <w:p w:rsidR="001449F2" w:rsidRDefault="002324A9">
      <w:pPr>
        <w:pStyle w:val="Tex1"/>
        <w:rPr>
          <w:noProof/>
          <w:lang w:eastAsia="et-EE" w:bidi="et-EE"/>
        </w:rPr>
      </w:pPr>
      <w:r>
        <w:rPr>
          <w:noProof/>
          <w:lang w:eastAsia="et-EE" w:bidi="et-EE"/>
        </w:rPr>
        <w:t>100 % maksetest kontrollitakse eelnevalt. Lisaks valitakse igal nädalal pisteliselt eelkontrolliks, mida teeb personali- või finantstalituse juhataja, vähemalt üks makse (kõikides kulukategooriates). Kontrolli katvuse suhtes kindlaid eesmärke ei seata, sest kontrolli eesmärk on kontrollida makseid pisteliselt, et teha kindlaks, kas kõik maksed vastavad nõuetele. Ülejäänud makseid töödeldakse iga päev vastavalt kehtivatele eeskirjadele.</w:t>
      </w:r>
    </w:p>
    <w:p w:rsidR="001449F2" w:rsidRDefault="002324A9">
      <w:pPr>
        <w:pStyle w:val="Tex1"/>
        <w:rPr>
          <w:noProof/>
          <w:lang w:eastAsia="et-EE" w:bidi="et-EE"/>
        </w:rPr>
      </w:pPr>
      <w:r>
        <w:rPr>
          <w:noProof/>
          <w:lang w:eastAsia="et-EE" w:bidi="et-EE"/>
        </w:rPr>
        <w:t xml:space="preserve">Edasivolitatud eelarvevahendite käsutaja deklaratsioonid: </w:t>
      </w:r>
    </w:p>
    <w:p w:rsidR="001449F2" w:rsidRDefault="002324A9">
      <w:pPr>
        <w:pStyle w:val="Tex1"/>
        <w:rPr>
          <w:noProof/>
          <w:lang w:eastAsia="et-EE" w:bidi="et-EE"/>
        </w:rPr>
      </w:pPr>
      <w:r>
        <w:rPr>
          <w:noProof/>
          <w:lang w:eastAsia="et-EE" w:bidi="et-EE"/>
        </w:rPr>
        <w:t xml:space="preserve">kõik edasivolitatud eelarvevahendite käsutajad kirjutavad alla deklaratsioonile, mis lisatakse asjaomase aasta kohta koostatud tegevusaruandele. Deklaratsioon hõlmab programmi raames elluviidavaid tegevusi. Edasivolitatud eelarvevahendite käsutaja kinnitab, et eelarve täitmisega seotud toimingud on ellu viidud vastavalt usaldusväärse finantsjuhtimise põhimõttele, et kehtivad juhtimis- ja kontrollisüsteemid tagavad rahuldavalt tehingute õiguspärasuse ja korrektsuse ning et toimingutega seotud riskid on nõuetekohaselt tuvastatud, nendest on teatatud ja et on rakendatud riskide maandamise meetmeid. </w:t>
      </w:r>
    </w:p>
    <w:p w:rsidR="001449F2" w:rsidRDefault="002324A9">
      <w:pPr>
        <w:pStyle w:val="ManualHeading3"/>
        <w:rPr>
          <w:noProof/>
        </w:rPr>
      </w:pPr>
      <w:r>
        <w:rPr>
          <w:noProof/>
        </w:rPr>
        <w:t>2.2.3.</w:t>
      </w:r>
      <w:r>
        <w:rPr>
          <w:noProof/>
        </w:rPr>
        <w:tab/>
      </w:r>
      <w:r>
        <w:rPr>
          <w:noProof/>
          <w:lang w:eastAsia="et-EE" w:bidi="et-EE"/>
        </w:rPr>
        <w:t xml:space="preserve">Kontrolliga kaasnevate kulude ja sellest saadava kasu hinnang ning veariski taseme prognoos </w:t>
      </w:r>
    </w:p>
    <w:p w:rsidR="001449F2" w:rsidRDefault="002324A9">
      <w:pPr>
        <w:pStyle w:val="Tex1"/>
        <w:rPr>
          <w:noProof/>
          <w:lang w:eastAsia="et-EE" w:bidi="et-EE"/>
        </w:rPr>
      </w:pPr>
      <w:r>
        <w:rPr>
          <w:noProof/>
          <w:lang w:eastAsia="et-EE" w:bidi="et-EE"/>
        </w:rPr>
        <w:t xml:space="preserve">Kehtestatud kontrollimenetlused annavad maksunduse ja tolliliidu peadirektoraadile piisava kindluse kulude kvaliteedi ja korrektsuse suhtes ning vähendavad nõuetele mittevastamise ohtu. Eespool nimetatud kontrollistrateegia meetmed langetavad võimaliku riskitaseme alla 2 % ja see mõjutab kõiki toetusesaajaid. Kõik täiendavad meetmed riskide edasiseks vähendamiseks oleks ebaproportsionaalselt kulukad ja seetõttu neid ette ei nähta. </w:t>
      </w:r>
    </w:p>
    <w:p w:rsidR="001449F2" w:rsidRDefault="002324A9">
      <w:pPr>
        <w:pStyle w:val="Tex1"/>
        <w:rPr>
          <w:noProof/>
          <w:lang w:eastAsia="et-EE" w:bidi="et-EE"/>
        </w:rPr>
      </w:pPr>
      <w:r>
        <w:rPr>
          <w:noProof/>
          <w:lang w:eastAsia="et-EE" w:bidi="et-EE"/>
        </w:rPr>
        <w:t>Eespool nimetatud kontrollistrateegia rakendamisel tekkinud üldkulud (kõigi programmi „Fiscalis 2020” raames tehtud kulutuste korral) moodustavad kuni 1,6 % kõigist tehtud maksetest. Käesoleva algatuse korral jääb kõnealune määr eeldatavasti samaks.</w:t>
      </w:r>
    </w:p>
    <w:p w:rsidR="001449F2" w:rsidRDefault="002324A9">
      <w:pPr>
        <w:pStyle w:val="Tex1"/>
        <w:rPr>
          <w:noProof/>
          <w:lang w:eastAsia="et-EE" w:bidi="et-EE"/>
        </w:rPr>
      </w:pPr>
      <w:r>
        <w:rPr>
          <w:noProof/>
          <w:lang w:eastAsia="et-EE" w:bidi="et-EE"/>
        </w:rPr>
        <w:t>Programmi kontrollistrateegia on piisavalt tõhus, et muuta mittevastavuse oht praktiliselt olematuks ning olla kaasnevate riskidega proportsionaalne.</w:t>
      </w:r>
    </w:p>
    <w:p w:rsidR="001449F2" w:rsidRDefault="002324A9">
      <w:pPr>
        <w:pStyle w:val="ManualHeading2"/>
        <w:rPr>
          <w:bCs/>
          <w:noProof/>
          <w:szCs w:val="24"/>
        </w:rPr>
      </w:pPr>
      <w:r>
        <w:rPr>
          <w:noProof/>
        </w:rPr>
        <w:lastRenderedPageBreak/>
        <w:t>2.3.</w:t>
      </w:r>
      <w:r>
        <w:rPr>
          <w:noProof/>
        </w:rPr>
        <w:tab/>
      </w:r>
      <w:r>
        <w:rPr>
          <w:noProof/>
          <w:lang w:eastAsia="et-EE" w:bidi="et-EE"/>
        </w:rPr>
        <w:t xml:space="preserve">Pettuste ja muude eeskirjade eiramise ärahoidmise meetmed </w:t>
      </w:r>
    </w:p>
    <w:p w:rsidR="001449F2" w:rsidRDefault="002324A9">
      <w:pPr>
        <w:pStyle w:val="Text1"/>
        <w:rPr>
          <w:noProof/>
          <w:lang w:eastAsia="et-EE" w:bidi="et-EE"/>
        </w:rPr>
      </w:pPr>
      <w:r>
        <w:rPr>
          <w:noProof/>
          <w:lang w:eastAsia="et-EE" w:bidi="et-EE"/>
        </w:rPr>
        <w:t>Täpsustage rakendatavad või kavandatud ennetus- ja kaitsemeetmed.</w:t>
      </w:r>
    </w:p>
    <w:p w:rsidR="001449F2" w:rsidRDefault="002324A9">
      <w:pPr>
        <w:pStyle w:val="Tex1"/>
        <w:rPr>
          <w:noProof/>
          <w:lang w:eastAsia="et-EE" w:bidi="et-EE"/>
        </w:rPr>
      </w:pPr>
      <w:r>
        <w:rPr>
          <w:noProof/>
          <w:lang w:eastAsia="et-EE" w:bidi="et-EE"/>
        </w:rPr>
        <w:t>Euroopa Pettustevastane Amet (OLAF) võib teha muu hulgas kohapealseid kontrolle ja inspekteerimisi vastavalt Euroopa Parlamendi ja nõukogu määruse (EÜ) nr 1073/1999 ( 1 ) ning nõukogu määruse (Euratom, EÜ) nr 2185/96 ( 2 ) materiaal- ja menetlusõiguse normidele, et teha kindlaks, kas seoses käesoleva määruse alusel rahastatud toetuslepingu, toetuse andmise otsuse või rahastamislepinguga on esinenud kelmusi või pettusi, korruptsiooni või muud ebaseaduslikku tegevust, mis mõjutab liidu finantshuve.</w:t>
      </w:r>
    </w:p>
    <w:p w:rsidR="001449F2" w:rsidRDefault="001449F2">
      <w:pPr>
        <w:rPr>
          <w:noProof/>
          <w:lang w:eastAsia="et-EE" w:bidi="et-EE"/>
        </w:rPr>
        <w:sectPr w:rsidR="001449F2" w:rsidSect="002324A9">
          <w:pgSz w:w="11907" w:h="16840" w:code="9"/>
          <w:pgMar w:top="1134" w:right="1418" w:bottom="1134" w:left="1418" w:header="709" w:footer="709" w:gutter="0"/>
          <w:cols w:space="708"/>
          <w:docGrid w:linePitch="360"/>
        </w:sectPr>
      </w:pPr>
    </w:p>
    <w:p w:rsidR="001449F2" w:rsidRDefault="002324A9">
      <w:pPr>
        <w:pStyle w:val="ManualHeading1"/>
        <w:rPr>
          <w:bCs/>
          <w:noProof/>
          <w:szCs w:val="24"/>
        </w:rPr>
      </w:pPr>
      <w:r>
        <w:rPr>
          <w:noProof/>
        </w:rPr>
        <w:lastRenderedPageBreak/>
        <w:t>3.</w:t>
      </w:r>
      <w:r>
        <w:rPr>
          <w:noProof/>
        </w:rPr>
        <w:tab/>
      </w:r>
      <w:r>
        <w:rPr>
          <w:noProof/>
          <w:lang w:eastAsia="et-EE" w:bidi="et-EE"/>
        </w:rPr>
        <w:t xml:space="preserve">ETTEPANEKU/ALGATUSE HINNANGULINE FINANTSMÕJU </w:t>
      </w:r>
    </w:p>
    <w:p w:rsidR="001449F2" w:rsidRDefault="002324A9">
      <w:pPr>
        <w:pStyle w:val="ManualHeading2"/>
        <w:rPr>
          <w:noProof/>
        </w:rPr>
      </w:pPr>
      <w:r>
        <w:rPr>
          <w:noProof/>
        </w:rPr>
        <w:t>3.1.</w:t>
      </w:r>
      <w:r>
        <w:rPr>
          <w:noProof/>
        </w:rPr>
        <w:tab/>
      </w:r>
      <w:r>
        <w:rPr>
          <w:noProof/>
          <w:lang w:eastAsia="et-EE" w:bidi="et-EE"/>
        </w:rPr>
        <w:t xml:space="preserve">Mitmeaastase finantsraamistiku rubriigid ja kulude eelarveread, millele mõju avaldub: </w:t>
      </w:r>
    </w:p>
    <w:p w:rsidR="001449F2" w:rsidRDefault="002324A9">
      <w:pPr>
        <w:pStyle w:val="ListBullet1"/>
        <w:rPr>
          <w:noProof/>
          <w:lang w:bidi="et-EE"/>
        </w:rPr>
      </w:pPr>
      <w:r>
        <w:rPr>
          <w:noProof/>
          <w:lang w:bidi="et-EE"/>
        </w:rPr>
        <w:t xml:space="preserve">Olemasolevad eelarveread </w:t>
      </w:r>
    </w:p>
    <w:p w:rsidR="001449F2" w:rsidRDefault="002324A9">
      <w:pPr>
        <w:pStyle w:val="Text1"/>
        <w:rPr>
          <w:noProof/>
          <w:lang w:eastAsia="et-EE" w:bidi="et-EE"/>
        </w:rPr>
      </w:pPr>
      <w:r>
        <w:rPr>
          <w:noProof/>
          <w:u w:val="single"/>
          <w:lang w:eastAsia="et-EE" w:bidi="et-EE"/>
        </w:rPr>
        <w:t>Järjestage</w:t>
      </w:r>
      <w:r>
        <w:rPr>
          <w:noProof/>
          <w:lang w:eastAsia="et-EE" w:bidi="et-EE"/>
        </w:rPr>
        <w:t xml:space="preserve"> mitmeaastase finantsraamistiku rubriikide kaupa ja iga rubriigi sees eelarveridade kaupa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449F2">
        <w:tc>
          <w:tcPr>
            <w:tcW w:w="1080" w:type="dxa"/>
            <w:vMerge w:val="restart"/>
            <w:vAlign w:val="center"/>
          </w:tcPr>
          <w:p w:rsidR="001449F2" w:rsidRDefault="002324A9">
            <w:pPr>
              <w:spacing w:before="60" w:after="60"/>
              <w:jc w:val="center"/>
              <w:rPr>
                <w:noProof/>
                <w:lang w:eastAsia="et-EE" w:bidi="et-EE"/>
              </w:rPr>
            </w:pPr>
            <w:r>
              <w:rPr>
                <w:noProof/>
                <w:sz w:val="18"/>
                <w:lang w:eastAsia="et-EE" w:bidi="et-EE"/>
              </w:rPr>
              <w:t>Mitmeaastase finantsraamistiku rubriik</w:t>
            </w:r>
          </w:p>
        </w:tc>
        <w:tc>
          <w:tcPr>
            <w:tcW w:w="3960" w:type="dxa"/>
            <w:vAlign w:val="center"/>
          </w:tcPr>
          <w:p w:rsidR="001449F2" w:rsidRDefault="002324A9">
            <w:pPr>
              <w:spacing w:before="60" w:after="60"/>
              <w:jc w:val="center"/>
              <w:rPr>
                <w:noProof/>
                <w:lang w:eastAsia="et-EE" w:bidi="et-EE"/>
              </w:rPr>
            </w:pPr>
            <w:r>
              <w:rPr>
                <w:noProof/>
                <w:sz w:val="20"/>
                <w:lang w:eastAsia="et-EE" w:bidi="et-EE"/>
              </w:rPr>
              <w:t>Eelarverida</w:t>
            </w:r>
          </w:p>
        </w:tc>
        <w:tc>
          <w:tcPr>
            <w:tcW w:w="1080" w:type="dxa"/>
            <w:vAlign w:val="center"/>
          </w:tcPr>
          <w:p w:rsidR="001449F2" w:rsidRDefault="002324A9">
            <w:pPr>
              <w:spacing w:before="60" w:after="60"/>
              <w:jc w:val="center"/>
              <w:rPr>
                <w:noProof/>
                <w:lang w:eastAsia="et-EE" w:bidi="et-EE"/>
              </w:rPr>
            </w:pPr>
            <w:r>
              <w:rPr>
                <w:noProof/>
                <w:lang w:eastAsia="et-EE" w:bidi="et-EE"/>
              </w:rPr>
              <w:t xml:space="preserve">Kulu </w:t>
            </w:r>
            <w:r>
              <w:rPr>
                <w:noProof/>
                <w:lang w:eastAsia="et-EE" w:bidi="et-EE"/>
              </w:rPr>
              <w:br/>
              <w:t>liik</w:t>
            </w:r>
          </w:p>
        </w:tc>
        <w:tc>
          <w:tcPr>
            <w:tcW w:w="4440" w:type="dxa"/>
            <w:gridSpan w:val="4"/>
            <w:vAlign w:val="center"/>
          </w:tcPr>
          <w:p w:rsidR="001449F2" w:rsidRDefault="002324A9">
            <w:pPr>
              <w:spacing w:before="60" w:after="60"/>
              <w:jc w:val="center"/>
              <w:rPr>
                <w:noProof/>
                <w:lang w:eastAsia="et-EE" w:bidi="et-EE"/>
              </w:rPr>
            </w:pPr>
            <w:r>
              <w:rPr>
                <w:noProof/>
                <w:sz w:val="20"/>
                <w:lang w:eastAsia="et-EE" w:bidi="et-EE"/>
              </w:rPr>
              <w:t xml:space="preserve">Rahaline osalus </w:t>
            </w:r>
          </w:p>
        </w:tc>
      </w:tr>
      <w:tr w:rsidR="001449F2">
        <w:tc>
          <w:tcPr>
            <w:tcW w:w="1080" w:type="dxa"/>
            <w:vMerge/>
            <w:vAlign w:val="center"/>
          </w:tcPr>
          <w:p w:rsidR="001449F2" w:rsidRDefault="001449F2">
            <w:pPr>
              <w:jc w:val="center"/>
              <w:rPr>
                <w:noProof/>
                <w:lang w:eastAsia="et-EE" w:bidi="et-EE"/>
              </w:rPr>
            </w:pPr>
          </w:p>
        </w:tc>
        <w:tc>
          <w:tcPr>
            <w:tcW w:w="3960" w:type="dxa"/>
            <w:vAlign w:val="center"/>
          </w:tcPr>
          <w:p w:rsidR="001449F2" w:rsidRDefault="002324A9">
            <w:pPr>
              <w:rPr>
                <w:noProof/>
                <w:lang w:eastAsia="et-EE" w:bidi="et-EE"/>
              </w:rPr>
            </w:pPr>
            <w:r>
              <w:rPr>
                <w:noProof/>
                <w:sz w:val="20"/>
                <w:lang w:eastAsia="et-EE" w:bidi="et-EE"/>
              </w:rPr>
              <w:t xml:space="preserve">Number </w:t>
            </w:r>
            <w:r>
              <w:rPr>
                <w:noProof/>
                <w:sz w:val="20"/>
                <w:lang w:eastAsia="et-EE" w:bidi="et-EE"/>
              </w:rPr>
              <w:br/>
              <w:t>1A Konkurentsivõime majanduskasvu ja tööhõive tagamiseks</w:t>
            </w:r>
          </w:p>
        </w:tc>
        <w:tc>
          <w:tcPr>
            <w:tcW w:w="1080" w:type="dxa"/>
            <w:vAlign w:val="center"/>
          </w:tcPr>
          <w:p w:rsidR="001449F2" w:rsidRDefault="002324A9">
            <w:pPr>
              <w:jc w:val="center"/>
              <w:rPr>
                <w:noProof/>
                <w:lang w:eastAsia="et-EE" w:bidi="et-EE"/>
              </w:rPr>
            </w:pPr>
            <w:r>
              <w:rPr>
                <w:noProof/>
                <w:sz w:val="18"/>
                <w:lang w:eastAsia="et-EE" w:bidi="et-EE"/>
              </w:rPr>
              <w:t>Liigendatud/liigendamata</w:t>
            </w:r>
            <w:r>
              <w:rPr>
                <w:rStyle w:val="FootnoteReference"/>
                <w:noProof/>
              </w:rPr>
              <w:footnoteReference w:id="14"/>
            </w:r>
            <w:r>
              <w:rPr>
                <w:noProof/>
                <w:lang w:eastAsia="et-EE" w:bidi="et-EE"/>
              </w:rPr>
              <w:t>.</w:t>
            </w:r>
          </w:p>
        </w:tc>
        <w:tc>
          <w:tcPr>
            <w:tcW w:w="956" w:type="dxa"/>
            <w:vAlign w:val="center"/>
          </w:tcPr>
          <w:p w:rsidR="001449F2" w:rsidRDefault="002324A9">
            <w:pPr>
              <w:jc w:val="center"/>
              <w:rPr>
                <w:noProof/>
                <w:lang w:eastAsia="et-EE" w:bidi="et-EE"/>
              </w:rPr>
            </w:pPr>
            <w:r>
              <w:rPr>
                <w:noProof/>
                <w:sz w:val="18"/>
                <w:lang w:eastAsia="et-EE" w:bidi="et-EE"/>
              </w:rPr>
              <w:t>EFTA riigid</w:t>
            </w:r>
            <w:r>
              <w:rPr>
                <w:rStyle w:val="FootnoteReference"/>
                <w:noProof/>
              </w:rPr>
              <w:footnoteReference w:id="15"/>
            </w:r>
          </w:p>
          <w:p w:rsidR="001449F2" w:rsidRDefault="001449F2">
            <w:pPr>
              <w:spacing w:before="0" w:after="0"/>
              <w:jc w:val="center"/>
              <w:rPr>
                <w:b/>
                <w:noProof/>
                <w:sz w:val="18"/>
                <w:lang w:eastAsia="et-EE" w:bidi="et-EE"/>
              </w:rPr>
            </w:pPr>
          </w:p>
        </w:tc>
        <w:tc>
          <w:tcPr>
            <w:tcW w:w="1080" w:type="dxa"/>
            <w:vAlign w:val="center"/>
          </w:tcPr>
          <w:p w:rsidR="001449F2" w:rsidRDefault="002324A9">
            <w:pPr>
              <w:jc w:val="center"/>
              <w:rPr>
                <w:noProof/>
                <w:lang w:eastAsia="et-EE" w:bidi="et-EE"/>
              </w:rPr>
            </w:pPr>
            <w:r>
              <w:rPr>
                <w:noProof/>
                <w:sz w:val="18"/>
                <w:lang w:eastAsia="et-EE" w:bidi="et-EE"/>
              </w:rPr>
              <w:t>Kandidaatriigid</w:t>
            </w:r>
            <w:r>
              <w:rPr>
                <w:rStyle w:val="FootnoteReference"/>
                <w:noProof/>
              </w:rPr>
              <w:footnoteReference w:id="16"/>
            </w:r>
          </w:p>
          <w:p w:rsidR="001449F2" w:rsidRDefault="001449F2">
            <w:pPr>
              <w:spacing w:before="0" w:after="0"/>
              <w:jc w:val="center"/>
              <w:rPr>
                <w:noProof/>
                <w:sz w:val="18"/>
                <w:lang w:eastAsia="et-EE" w:bidi="et-EE"/>
              </w:rPr>
            </w:pPr>
          </w:p>
        </w:tc>
        <w:tc>
          <w:tcPr>
            <w:tcW w:w="956" w:type="dxa"/>
            <w:vAlign w:val="center"/>
          </w:tcPr>
          <w:p w:rsidR="001449F2" w:rsidRDefault="002324A9">
            <w:pPr>
              <w:jc w:val="center"/>
              <w:rPr>
                <w:noProof/>
                <w:sz w:val="18"/>
                <w:lang w:eastAsia="et-EE" w:bidi="et-EE"/>
              </w:rPr>
            </w:pPr>
            <w:r>
              <w:rPr>
                <w:noProof/>
                <w:sz w:val="18"/>
                <w:lang w:eastAsia="et-EE" w:bidi="et-EE"/>
              </w:rPr>
              <w:t>Kolmandad riigid</w:t>
            </w:r>
          </w:p>
        </w:tc>
        <w:tc>
          <w:tcPr>
            <w:tcW w:w="1448" w:type="dxa"/>
            <w:vAlign w:val="center"/>
          </w:tcPr>
          <w:p w:rsidR="001449F2" w:rsidRDefault="002324A9">
            <w:pPr>
              <w:jc w:val="center"/>
              <w:rPr>
                <w:noProof/>
                <w:lang w:eastAsia="et-EE" w:bidi="et-EE"/>
              </w:rPr>
            </w:pPr>
            <w:r>
              <w:rPr>
                <w:noProof/>
                <w:sz w:val="16"/>
                <w:lang w:eastAsia="et-EE" w:bidi="et-EE"/>
              </w:rPr>
              <w:t xml:space="preserve">Rahaline osalus finantsmääruse artikli 21 lõike 2 punkti b tähenduses </w:t>
            </w:r>
          </w:p>
        </w:tc>
      </w:tr>
      <w:tr w:rsidR="001449F2">
        <w:tc>
          <w:tcPr>
            <w:tcW w:w="1080" w:type="dxa"/>
            <w:vAlign w:val="center"/>
          </w:tcPr>
          <w:p w:rsidR="001449F2" w:rsidRDefault="001449F2">
            <w:pPr>
              <w:jc w:val="center"/>
              <w:rPr>
                <w:noProof/>
                <w:lang w:eastAsia="et-EE" w:bidi="et-EE"/>
              </w:rPr>
            </w:pPr>
          </w:p>
        </w:tc>
        <w:tc>
          <w:tcPr>
            <w:tcW w:w="3960" w:type="dxa"/>
            <w:vAlign w:val="center"/>
          </w:tcPr>
          <w:p w:rsidR="001449F2" w:rsidRDefault="002324A9">
            <w:pPr>
              <w:spacing w:before="60"/>
              <w:rPr>
                <w:noProof/>
                <w:lang w:eastAsia="et-EE" w:bidi="et-EE"/>
              </w:rPr>
            </w:pPr>
            <w:r>
              <w:rPr>
                <w:noProof/>
                <w:sz w:val="22"/>
                <w:lang w:eastAsia="et-EE" w:bidi="et-EE"/>
              </w:rPr>
              <w:t>14.0301 (Maksusüsteemide toimimise parandamine)</w:t>
            </w:r>
          </w:p>
          <w:p w:rsidR="001449F2" w:rsidRDefault="001449F2">
            <w:pPr>
              <w:spacing w:after="60"/>
              <w:rPr>
                <w:noProof/>
                <w:lang w:eastAsia="et-EE" w:bidi="et-EE"/>
              </w:rPr>
            </w:pPr>
          </w:p>
        </w:tc>
        <w:tc>
          <w:tcPr>
            <w:tcW w:w="1080" w:type="dxa"/>
            <w:vAlign w:val="center"/>
          </w:tcPr>
          <w:p w:rsidR="001449F2" w:rsidRDefault="002324A9">
            <w:pPr>
              <w:jc w:val="center"/>
              <w:rPr>
                <w:noProof/>
                <w:lang w:eastAsia="et-EE" w:bidi="et-EE"/>
              </w:rPr>
            </w:pPr>
            <w:r>
              <w:rPr>
                <w:noProof/>
                <w:sz w:val="22"/>
                <w:lang w:eastAsia="et-EE" w:bidi="et-EE"/>
              </w:rPr>
              <w:t>Liigendatud</w:t>
            </w:r>
          </w:p>
        </w:tc>
        <w:tc>
          <w:tcPr>
            <w:tcW w:w="956" w:type="dxa"/>
            <w:vAlign w:val="center"/>
          </w:tcPr>
          <w:p w:rsidR="001449F2" w:rsidRDefault="002324A9">
            <w:pPr>
              <w:jc w:val="center"/>
              <w:rPr>
                <w:noProof/>
                <w:lang w:eastAsia="et-EE" w:bidi="et-EE"/>
              </w:rPr>
            </w:pPr>
            <w:r>
              <w:rPr>
                <w:noProof/>
                <w:sz w:val="22"/>
                <w:lang w:eastAsia="et-EE" w:bidi="et-EE"/>
              </w:rPr>
              <w:t>EI</w:t>
            </w:r>
          </w:p>
        </w:tc>
        <w:tc>
          <w:tcPr>
            <w:tcW w:w="1080" w:type="dxa"/>
            <w:vAlign w:val="center"/>
          </w:tcPr>
          <w:p w:rsidR="001449F2" w:rsidRDefault="002324A9">
            <w:pPr>
              <w:jc w:val="center"/>
              <w:rPr>
                <w:noProof/>
                <w:lang w:eastAsia="et-EE" w:bidi="et-EE"/>
              </w:rPr>
            </w:pPr>
            <w:r>
              <w:rPr>
                <w:noProof/>
                <w:sz w:val="22"/>
                <w:lang w:eastAsia="et-EE" w:bidi="et-EE"/>
              </w:rPr>
              <w:t>EI</w:t>
            </w:r>
          </w:p>
        </w:tc>
        <w:tc>
          <w:tcPr>
            <w:tcW w:w="956" w:type="dxa"/>
            <w:vAlign w:val="center"/>
          </w:tcPr>
          <w:p w:rsidR="001449F2" w:rsidRDefault="002324A9">
            <w:pPr>
              <w:jc w:val="center"/>
              <w:rPr>
                <w:noProof/>
                <w:lang w:eastAsia="et-EE" w:bidi="et-EE"/>
              </w:rPr>
            </w:pPr>
            <w:r>
              <w:rPr>
                <w:noProof/>
                <w:sz w:val="22"/>
                <w:lang w:eastAsia="et-EE" w:bidi="et-EE"/>
              </w:rPr>
              <w:t>EI</w:t>
            </w:r>
          </w:p>
        </w:tc>
        <w:tc>
          <w:tcPr>
            <w:tcW w:w="1448" w:type="dxa"/>
            <w:vAlign w:val="center"/>
          </w:tcPr>
          <w:p w:rsidR="001449F2" w:rsidRDefault="002324A9">
            <w:pPr>
              <w:jc w:val="center"/>
              <w:rPr>
                <w:noProof/>
                <w:lang w:eastAsia="et-EE" w:bidi="et-EE"/>
              </w:rPr>
            </w:pPr>
            <w:r>
              <w:rPr>
                <w:noProof/>
                <w:sz w:val="22"/>
                <w:lang w:eastAsia="et-EE" w:bidi="et-EE"/>
              </w:rPr>
              <w:t>EI</w:t>
            </w:r>
          </w:p>
        </w:tc>
      </w:tr>
    </w:tbl>
    <w:p w:rsidR="001449F2" w:rsidRDefault="002324A9">
      <w:pPr>
        <w:pStyle w:val="ListBullet1"/>
        <w:rPr>
          <w:noProof/>
          <w:lang w:bidi="et-EE"/>
        </w:rPr>
      </w:pPr>
      <w:r>
        <w:rPr>
          <w:noProof/>
          <w:lang w:bidi="et-EE"/>
        </w:rPr>
        <w:t xml:space="preserve">Uued eelarveread, mille loomist taotletakse </w:t>
      </w:r>
    </w:p>
    <w:p w:rsidR="001449F2" w:rsidRDefault="002324A9">
      <w:pPr>
        <w:pStyle w:val="Text1"/>
        <w:rPr>
          <w:i/>
          <w:noProof/>
          <w:sz w:val="20"/>
          <w:lang w:eastAsia="et-EE" w:bidi="et-EE"/>
        </w:rPr>
      </w:pPr>
      <w:r>
        <w:rPr>
          <w:noProof/>
          <w:u w:val="single"/>
          <w:lang w:eastAsia="et-EE" w:bidi="et-EE"/>
        </w:rPr>
        <w:t>Järjestage</w:t>
      </w:r>
      <w:r>
        <w:rPr>
          <w:noProof/>
          <w:lang w:eastAsia="et-EE" w:bidi="et-EE"/>
        </w:rPr>
        <w:t xml:space="preserve"> mitmeaastase finantsraamistiku rubriikide kaupa ja iga rubriigi sees eelarveridade kaupa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449F2">
        <w:tc>
          <w:tcPr>
            <w:tcW w:w="1080" w:type="dxa"/>
            <w:vMerge w:val="restart"/>
            <w:vAlign w:val="center"/>
          </w:tcPr>
          <w:p w:rsidR="001449F2" w:rsidRDefault="002324A9">
            <w:pPr>
              <w:spacing w:before="60" w:after="60"/>
              <w:jc w:val="center"/>
              <w:rPr>
                <w:noProof/>
                <w:sz w:val="18"/>
                <w:szCs w:val="18"/>
                <w:lang w:eastAsia="et-EE" w:bidi="et-EE"/>
              </w:rPr>
            </w:pPr>
            <w:r>
              <w:rPr>
                <w:noProof/>
                <w:sz w:val="18"/>
                <w:lang w:eastAsia="et-EE" w:bidi="et-EE"/>
              </w:rPr>
              <w:t>Mitmeaastase finantsraamistiku rubriik</w:t>
            </w:r>
          </w:p>
        </w:tc>
        <w:tc>
          <w:tcPr>
            <w:tcW w:w="3960" w:type="dxa"/>
            <w:vAlign w:val="center"/>
          </w:tcPr>
          <w:p w:rsidR="001449F2" w:rsidRDefault="002324A9">
            <w:pPr>
              <w:spacing w:before="60" w:after="60"/>
              <w:jc w:val="center"/>
              <w:rPr>
                <w:noProof/>
                <w:lang w:eastAsia="et-EE" w:bidi="et-EE"/>
              </w:rPr>
            </w:pPr>
            <w:r>
              <w:rPr>
                <w:noProof/>
                <w:sz w:val="20"/>
                <w:lang w:eastAsia="et-EE" w:bidi="et-EE"/>
              </w:rPr>
              <w:t>Eelarverida</w:t>
            </w:r>
          </w:p>
        </w:tc>
        <w:tc>
          <w:tcPr>
            <w:tcW w:w="1080" w:type="dxa"/>
            <w:vAlign w:val="center"/>
          </w:tcPr>
          <w:p w:rsidR="001449F2" w:rsidRDefault="002324A9">
            <w:pPr>
              <w:spacing w:before="60" w:after="60"/>
              <w:jc w:val="center"/>
              <w:rPr>
                <w:noProof/>
                <w:lang w:eastAsia="et-EE" w:bidi="et-EE"/>
              </w:rPr>
            </w:pPr>
            <w:r>
              <w:rPr>
                <w:noProof/>
                <w:lang w:eastAsia="et-EE" w:bidi="et-EE"/>
              </w:rPr>
              <w:t>Kulu</w:t>
            </w:r>
            <w:r>
              <w:rPr>
                <w:noProof/>
                <w:lang w:eastAsia="et-EE" w:bidi="et-EE"/>
              </w:rPr>
              <w:br/>
              <w:t>liik</w:t>
            </w:r>
          </w:p>
        </w:tc>
        <w:tc>
          <w:tcPr>
            <w:tcW w:w="4440" w:type="dxa"/>
            <w:gridSpan w:val="4"/>
            <w:vAlign w:val="center"/>
          </w:tcPr>
          <w:p w:rsidR="001449F2" w:rsidRDefault="002324A9">
            <w:pPr>
              <w:spacing w:before="60" w:after="60"/>
              <w:jc w:val="center"/>
              <w:rPr>
                <w:noProof/>
                <w:lang w:eastAsia="et-EE" w:bidi="et-EE"/>
              </w:rPr>
            </w:pPr>
            <w:r>
              <w:rPr>
                <w:noProof/>
                <w:sz w:val="20"/>
                <w:lang w:eastAsia="et-EE" w:bidi="et-EE"/>
              </w:rPr>
              <w:t xml:space="preserve">Rahaline osalus </w:t>
            </w:r>
          </w:p>
        </w:tc>
      </w:tr>
      <w:tr w:rsidR="001449F2">
        <w:tc>
          <w:tcPr>
            <w:tcW w:w="1080" w:type="dxa"/>
            <w:vMerge/>
            <w:vAlign w:val="center"/>
          </w:tcPr>
          <w:p w:rsidR="001449F2" w:rsidRDefault="001449F2">
            <w:pPr>
              <w:jc w:val="center"/>
              <w:rPr>
                <w:noProof/>
                <w:lang w:eastAsia="et-EE" w:bidi="et-EE"/>
              </w:rPr>
            </w:pPr>
          </w:p>
        </w:tc>
        <w:tc>
          <w:tcPr>
            <w:tcW w:w="3960" w:type="dxa"/>
            <w:vAlign w:val="center"/>
          </w:tcPr>
          <w:p w:rsidR="001449F2" w:rsidRDefault="002324A9">
            <w:pPr>
              <w:rPr>
                <w:noProof/>
                <w:lang w:eastAsia="et-EE" w:bidi="et-EE"/>
              </w:rPr>
            </w:pPr>
            <w:r>
              <w:rPr>
                <w:noProof/>
                <w:sz w:val="20"/>
                <w:lang w:eastAsia="et-EE" w:bidi="et-EE"/>
              </w:rPr>
              <w:t xml:space="preserve">Number </w:t>
            </w:r>
            <w:r>
              <w:rPr>
                <w:noProof/>
                <w:sz w:val="22"/>
                <w:lang w:eastAsia="et-EE" w:bidi="et-EE"/>
              </w:rPr>
              <w:br/>
            </w:r>
            <w:r>
              <w:rPr>
                <w:noProof/>
                <w:sz w:val="20"/>
                <w:lang w:eastAsia="et-EE" w:bidi="et-EE"/>
              </w:rPr>
              <w:t>[Nimetus …..]</w:t>
            </w:r>
          </w:p>
        </w:tc>
        <w:tc>
          <w:tcPr>
            <w:tcW w:w="1080" w:type="dxa"/>
            <w:vAlign w:val="center"/>
          </w:tcPr>
          <w:p w:rsidR="001449F2" w:rsidRDefault="002324A9">
            <w:pPr>
              <w:jc w:val="center"/>
              <w:rPr>
                <w:noProof/>
                <w:lang w:eastAsia="et-EE" w:bidi="et-EE"/>
              </w:rPr>
            </w:pPr>
            <w:r>
              <w:rPr>
                <w:noProof/>
                <w:sz w:val="18"/>
                <w:lang w:eastAsia="et-EE" w:bidi="et-EE"/>
              </w:rPr>
              <w:t>Liigendatud/liigendamata</w:t>
            </w:r>
          </w:p>
        </w:tc>
        <w:tc>
          <w:tcPr>
            <w:tcW w:w="956" w:type="dxa"/>
            <w:vAlign w:val="center"/>
          </w:tcPr>
          <w:p w:rsidR="001449F2" w:rsidRDefault="002324A9">
            <w:pPr>
              <w:jc w:val="center"/>
              <w:rPr>
                <w:noProof/>
                <w:sz w:val="18"/>
                <w:lang w:eastAsia="et-EE" w:bidi="et-EE"/>
              </w:rPr>
            </w:pPr>
            <w:r>
              <w:rPr>
                <w:noProof/>
                <w:sz w:val="18"/>
                <w:lang w:eastAsia="et-EE" w:bidi="et-EE"/>
              </w:rPr>
              <w:t>EFTA riigid</w:t>
            </w:r>
          </w:p>
        </w:tc>
        <w:tc>
          <w:tcPr>
            <w:tcW w:w="1080" w:type="dxa"/>
            <w:vAlign w:val="center"/>
          </w:tcPr>
          <w:p w:rsidR="001449F2" w:rsidRDefault="002324A9">
            <w:pPr>
              <w:jc w:val="center"/>
              <w:rPr>
                <w:noProof/>
                <w:sz w:val="18"/>
                <w:lang w:eastAsia="et-EE" w:bidi="et-EE"/>
              </w:rPr>
            </w:pPr>
            <w:r>
              <w:rPr>
                <w:noProof/>
                <w:sz w:val="18"/>
                <w:lang w:eastAsia="et-EE" w:bidi="et-EE"/>
              </w:rPr>
              <w:t>Kandidaatriigid</w:t>
            </w:r>
          </w:p>
        </w:tc>
        <w:tc>
          <w:tcPr>
            <w:tcW w:w="956" w:type="dxa"/>
            <w:vAlign w:val="center"/>
          </w:tcPr>
          <w:p w:rsidR="001449F2" w:rsidRDefault="002324A9">
            <w:pPr>
              <w:jc w:val="center"/>
              <w:rPr>
                <w:noProof/>
                <w:sz w:val="18"/>
                <w:lang w:eastAsia="et-EE" w:bidi="et-EE"/>
              </w:rPr>
            </w:pPr>
            <w:r>
              <w:rPr>
                <w:noProof/>
                <w:sz w:val="18"/>
                <w:lang w:eastAsia="et-EE" w:bidi="et-EE"/>
              </w:rPr>
              <w:t>Kolmandad riigid</w:t>
            </w:r>
          </w:p>
        </w:tc>
        <w:tc>
          <w:tcPr>
            <w:tcW w:w="1448" w:type="dxa"/>
            <w:vAlign w:val="center"/>
          </w:tcPr>
          <w:p w:rsidR="001449F2" w:rsidRDefault="002324A9">
            <w:pPr>
              <w:jc w:val="center"/>
              <w:rPr>
                <w:noProof/>
                <w:lang w:eastAsia="et-EE" w:bidi="et-EE"/>
              </w:rPr>
            </w:pPr>
            <w:r>
              <w:rPr>
                <w:noProof/>
                <w:sz w:val="16"/>
                <w:lang w:eastAsia="et-EE" w:bidi="et-EE"/>
              </w:rPr>
              <w:t xml:space="preserve">Rahaline osalus finantsmääruse artikli 21 lõike 2 punkti b tähenduses </w:t>
            </w:r>
          </w:p>
        </w:tc>
      </w:tr>
      <w:tr w:rsidR="001449F2">
        <w:tc>
          <w:tcPr>
            <w:tcW w:w="1080" w:type="dxa"/>
            <w:vAlign w:val="center"/>
          </w:tcPr>
          <w:p w:rsidR="001449F2" w:rsidRDefault="001449F2">
            <w:pPr>
              <w:jc w:val="center"/>
              <w:rPr>
                <w:noProof/>
                <w:lang w:eastAsia="et-EE" w:bidi="et-EE"/>
              </w:rPr>
            </w:pPr>
          </w:p>
        </w:tc>
        <w:tc>
          <w:tcPr>
            <w:tcW w:w="3960" w:type="dxa"/>
            <w:vAlign w:val="center"/>
          </w:tcPr>
          <w:p w:rsidR="001449F2" w:rsidRDefault="002324A9">
            <w:pPr>
              <w:spacing w:before="60"/>
              <w:rPr>
                <w:noProof/>
                <w:lang w:eastAsia="et-EE" w:bidi="et-EE"/>
              </w:rPr>
            </w:pPr>
            <w:r>
              <w:rPr>
                <w:noProof/>
                <w:sz w:val="22"/>
                <w:lang w:eastAsia="et-EE" w:bidi="et-EE"/>
              </w:rPr>
              <w:t>[XX.YY.YY.YY]</w:t>
            </w:r>
          </w:p>
          <w:p w:rsidR="001449F2" w:rsidRDefault="001449F2">
            <w:pPr>
              <w:spacing w:after="60"/>
              <w:rPr>
                <w:noProof/>
                <w:lang w:eastAsia="et-EE" w:bidi="et-EE"/>
              </w:rPr>
            </w:pPr>
          </w:p>
        </w:tc>
        <w:tc>
          <w:tcPr>
            <w:tcW w:w="1080" w:type="dxa"/>
            <w:vAlign w:val="center"/>
          </w:tcPr>
          <w:p w:rsidR="001449F2" w:rsidRDefault="001449F2">
            <w:pPr>
              <w:jc w:val="center"/>
              <w:rPr>
                <w:noProof/>
                <w:lang w:eastAsia="et-EE" w:bidi="et-EE"/>
              </w:rPr>
            </w:pPr>
          </w:p>
        </w:tc>
        <w:tc>
          <w:tcPr>
            <w:tcW w:w="956" w:type="dxa"/>
            <w:vAlign w:val="center"/>
          </w:tcPr>
          <w:p w:rsidR="001449F2" w:rsidRDefault="002324A9">
            <w:pPr>
              <w:jc w:val="center"/>
              <w:rPr>
                <w:noProof/>
                <w:lang w:eastAsia="et-EE" w:bidi="et-EE"/>
              </w:rPr>
            </w:pPr>
            <w:r>
              <w:rPr>
                <w:noProof/>
                <w:sz w:val="22"/>
                <w:lang w:eastAsia="et-EE" w:bidi="et-EE"/>
              </w:rPr>
              <w:t>JAH/EI</w:t>
            </w:r>
          </w:p>
        </w:tc>
        <w:tc>
          <w:tcPr>
            <w:tcW w:w="1080" w:type="dxa"/>
            <w:vAlign w:val="center"/>
          </w:tcPr>
          <w:p w:rsidR="001449F2" w:rsidRDefault="002324A9">
            <w:pPr>
              <w:jc w:val="center"/>
              <w:rPr>
                <w:noProof/>
                <w:sz w:val="18"/>
                <w:lang w:eastAsia="et-EE" w:bidi="et-EE"/>
              </w:rPr>
            </w:pPr>
            <w:r>
              <w:rPr>
                <w:noProof/>
                <w:sz w:val="22"/>
                <w:lang w:eastAsia="et-EE" w:bidi="et-EE"/>
              </w:rPr>
              <w:t>JAH/EI</w:t>
            </w:r>
          </w:p>
        </w:tc>
        <w:tc>
          <w:tcPr>
            <w:tcW w:w="956" w:type="dxa"/>
            <w:vAlign w:val="center"/>
          </w:tcPr>
          <w:p w:rsidR="001449F2" w:rsidRDefault="002324A9">
            <w:pPr>
              <w:jc w:val="center"/>
              <w:rPr>
                <w:noProof/>
                <w:sz w:val="18"/>
                <w:lang w:eastAsia="et-EE" w:bidi="et-EE"/>
              </w:rPr>
            </w:pPr>
            <w:r>
              <w:rPr>
                <w:noProof/>
                <w:sz w:val="22"/>
                <w:lang w:eastAsia="et-EE" w:bidi="et-EE"/>
              </w:rPr>
              <w:t>JAH/EI</w:t>
            </w:r>
          </w:p>
        </w:tc>
        <w:tc>
          <w:tcPr>
            <w:tcW w:w="1448" w:type="dxa"/>
            <w:vAlign w:val="center"/>
          </w:tcPr>
          <w:p w:rsidR="001449F2" w:rsidRDefault="002324A9">
            <w:pPr>
              <w:jc w:val="center"/>
              <w:rPr>
                <w:noProof/>
                <w:lang w:eastAsia="et-EE" w:bidi="et-EE"/>
              </w:rPr>
            </w:pPr>
            <w:r>
              <w:rPr>
                <w:noProof/>
                <w:sz w:val="22"/>
                <w:lang w:eastAsia="et-EE" w:bidi="et-EE"/>
              </w:rPr>
              <w:t>JAH/EI</w:t>
            </w:r>
          </w:p>
        </w:tc>
      </w:tr>
    </w:tbl>
    <w:p w:rsidR="001449F2" w:rsidRDefault="001449F2">
      <w:pPr>
        <w:rPr>
          <w:noProof/>
          <w:lang w:eastAsia="et-EE" w:bidi="et-EE"/>
        </w:rPr>
        <w:sectPr w:rsidR="001449F2" w:rsidSect="002324A9">
          <w:pgSz w:w="11907" w:h="16840" w:code="1"/>
          <w:pgMar w:top="1134" w:right="1418" w:bottom="1134" w:left="1418" w:header="709" w:footer="709" w:gutter="0"/>
          <w:cols w:space="708"/>
          <w:docGrid w:linePitch="360"/>
        </w:sectPr>
      </w:pPr>
    </w:p>
    <w:p w:rsidR="001449F2" w:rsidRDefault="002324A9">
      <w:pPr>
        <w:pStyle w:val="ManualHeading2"/>
        <w:rPr>
          <w:bCs/>
          <w:noProof/>
          <w:szCs w:val="24"/>
        </w:rPr>
      </w:pPr>
      <w:r>
        <w:rPr>
          <w:noProof/>
        </w:rPr>
        <w:lastRenderedPageBreak/>
        <w:t>3.2.</w:t>
      </w:r>
      <w:r>
        <w:rPr>
          <w:noProof/>
        </w:rPr>
        <w:tab/>
      </w:r>
      <w:r>
        <w:rPr>
          <w:noProof/>
          <w:lang w:eastAsia="et-EE" w:bidi="et-EE"/>
        </w:rPr>
        <w:t xml:space="preserve">Hinnanguline mõju kuludele </w:t>
      </w:r>
    </w:p>
    <w:p w:rsidR="001449F2" w:rsidRDefault="002324A9">
      <w:pPr>
        <w:pStyle w:val="Text1"/>
        <w:rPr>
          <w:noProof/>
          <w:lang w:eastAsia="et-EE" w:bidi="et-EE"/>
        </w:rPr>
      </w:pPr>
      <w:r>
        <w:rPr>
          <w:noProof/>
          <w:lang w:eastAsia="et-EE" w:bidi="et-EE"/>
        </w:rPr>
        <w:t xml:space="preserve">[Selle punkti täitmisel tuleb kasutada </w:t>
      </w:r>
      <w:r>
        <w:rPr>
          <w:b/>
          <w:noProof/>
          <w:u w:val="single"/>
          <w:lang w:eastAsia="et-EE" w:bidi="et-EE"/>
        </w:rPr>
        <w:t>haldusalaste eelarveandmete tabelit</w:t>
      </w:r>
      <w:r>
        <w:rPr>
          <w:noProof/>
          <w:lang w:eastAsia="et-EE" w:bidi="et-EE"/>
        </w:rPr>
        <w:t xml:space="preserve"> (käesoleva finantsselgituse lisas esitatud teine dokument) ja laadida see üles CISNETi võrku talitustevahelise konsulteerimise eesmärgil.]</w:t>
      </w:r>
    </w:p>
    <w:p w:rsidR="001449F2" w:rsidRDefault="002324A9">
      <w:pPr>
        <w:pStyle w:val="ManualHeading3"/>
        <w:rPr>
          <w:noProof/>
          <w:u w:val="single"/>
        </w:rPr>
      </w:pPr>
      <w:r>
        <w:rPr>
          <w:noProof/>
        </w:rPr>
        <w:t>3.2.1.</w:t>
      </w:r>
      <w:r>
        <w:rPr>
          <w:noProof/>
        </w:rPr>
        <w:tab/>
      </w:r>
      <w:r>
        <w:rPr>
          <w:noProof/>
          <w:lang w:eastAsia="et-EE" w:bidi="et-EE"/>
        </w:rPr>
        <w:t xml:space="preserve">Üldine hinnanguline mõju kuludele </w:t>
      </w:r>
    </w:p>
    <w:p w:rsidR="001449F2" w:rsidRDefault="002324A9">
      <w:pPr>
        <w:jc w:val="right"/>
        <w:rPr>
          <w:noProof/>
          <w:sz w:val="20"/>
          <w:lang w:eastAsia="et-EE" w:bidi="et-EE"/>
        </w:rPr>
      </w:pPr>
      <w:r>
        <w:rPr>
          <w:noProof/>
          <w:sz w:val="20"/>
          <w:lang w:eastAsia="et-EE" w:bidi="et-EE"/>
        </w:rPr>
        <w:t>miljonites eurodes (kolm kohta pärast koma)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449F2">
        <w:trPr>
          <w:jc w:val="center"/>
        </w:trPr>
        <w:tc>
          <w:tcPr>
            <w:tcW w:w="4744" w:type="dxa"/>
            <w:shd w:val="thinDiagStripe" w:color="C0C0C0" w:fill="auto"/>
            <w:vAlign w:val="center"/>
          </w:tcPr>
          <w:p w:rsidR="001449F2" w:rsidRDefault="002324A9">
            <w:pPr>
              <w:spacing w:before="60" w:after="60"/>
              <w:jc w:val="center"/>
              <w:rPr>
                <w:b/>
                <w:noProof/>
                <w:lang w:eastAsia="et-EE" w:bidi="et-EE"/>
              </w:rPr>
            </w:pPr>
            <w:r>
              <w:rPr>
                <w:b/>
                <w:noProof/>
                <w:lang w:eastAsia="et-EE" w:bidi="et-EE"/>
              </w:rPr>
              <w:t>Mitmeaastase finantsraamistiku</w:t>
            </w:r>
            <w:r>
              <w:rPr>
                <w:noProof/>
                <w:sz w:val="22"/>
                <w:lang w:eastAsia="et-EE" w:bidi="et-EE"/>
              </w:rPr>
              <w:br/>
            </w:r>
            <w:r>
              <w:rPr>
                <w:b/>
                <w:noProof/>
                <w:sz w:val="22"/>
                <w:lang w:eastAsia="et-EE" w:bidi="et-EE"/>
              </w:rPr>
              <w:t xml:space="preserve">rubriik </w:t>
            </w:r>
          </w:p>
        </w:tc>
        <w:tc>
          <w:tcPr>
            <w:tcW w:w="1080" w:type="dxa"/>
            <w:vAlign w:val="center"/>
          </w:tcPr>
          <w:p w:rsidR="001449F2" w:rsidRDefault="002324A9">
            <w:pPr>
              <w:spacing w:before="60" w:after="60"/>
              <w:jc w:val="center"/>
              <w:rPr>
                <w:noProof/>
                <w:lang w:eastAsia="et-EE" w:bidi="et-EE"/>
              </w:rPr>
            </w:pPr>
            <w:r>
              <w:rPr>
                <w:noProof/>
                <w:sz w:val="22"/>
                <w:lang w:eastAsia="et-EE" w:bidi="et-EE"/>
              </w:rPr>
              <w:t>Number</w:t>
            </w:r>
          </w:p>
        </w:tc>
        <w:tc>
          <w:tcPr>
            <w:tcW w:w="7817" w:type="dxa"/>
            <w:vAlign w:val="center"/>
          </w:tcPr>
          <w:p w:rsidR="001449F2" w:rsidRDefault="002324A9">
            <w:pPr>
              <w:spacing w:before="60" w:after="60"/>
              <w:rPr>
                <w:noProof/>
                <w:lang w:eastAsia="et-EE" w:bidi="et-EE"/>
              </w:rPr>
            </w:pPr>
            <w:r>
              <w:rPr>
                <w:noProof/>
                <w:sz w:val="22"/>
                <w:lang w:eastAsia="et-EE" w:bidi="et-EE"/>
              </w:rPr>
              <w:t>1 A Konkurentsivõime majanduskasvu ja tööhõive tagamiseks</w:t>
            </w:r>
          </w:p>
        </w:tc>
      </w:tr>
    </w:tbl>
    <w:p w:rsidR="001449F2" w:rsidRDefault="001449F2">
      <w:pPr>
        <w:rPr>
          <w:noProof/>
          <w:sz w:val="16"/>
          <w:lang w:eastAsia="et-EE" w:bidi="et-E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1449F2">
        <w:tc>
          <w:tcPr>
            <w:tcW w:w="3960" w:type="dxa"/>
            <w:vAlign w:val="center"/>
          </w:tcPr>
          <w:p w:rsidR="001449F2" w:rsidRDefault="002324A9">
            <w:pPr>
              <w:jc w:val="center"/>
              <w:rPr>
                <w:noProof/>
                <w:lang w:eastAsia="et-EE" w:bidi="et-EE"/>
              </w:rPr>
            </w:pPr>
            <w:r>
              <w:rPr>
                <w:noProof/>
                <w:sz w:val="22"/>
                <w:lang w:eastAsia="et-EE" w:bidi="et-EE"/>
              </w:rPr>
              <w:t xml:space="preserve">Maksunduse ja tolliliidu peadirektoraat </w:t>
            </w:r>
          </w:p>
        </w:tc>
        <w:tc>
          <w:tcPr>
            <w:tcW w:w="1560" w:type="dxa"/>
            <w:gridSpan w:val="2"/>
          </w:tcPr>
          <w:p w:rsidR="001449F2" w:rsidRDefault="001449F2">
            <w:pPr>
              <w:rPr>
                <w:noProof/>
                <w:sz w:val="20"/>
                <w:lang w:eastAsia="et-EE" w:bidi="et-EE"/>
              </w:rPr>
            </w:pPr>
          </w:p>
        </w:tc>
        <w:tc>
          <w:tcPr>
            <w:tcW w:w="534" w:type="dxa"/>
          </w:tcPr>
          <w:p w:rsidR="001449F2" w:rsidRDefault="001449F2">
            <w:pPr>
              <w:jc w:val="center"/>
              <w:rPr>
                <w:noProof/>
                <w:sz w:val="20"/>
                <w:lang w:eastAsia="et-EE" w:bidi="et-EE"/>
              </w:rPr>
            </w:pP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noProof/>
                <w:sz w:val="20"/>
                <w:lang w:eastAsia="et-EE" w:bidi="et-EE"/>
              </w:rPr>
              <w:t>2016</w:t>
            </w:r>
            <w:r>
              <w:rPr>
                <w:rStyle w:val="FootnoteReference"/>
                <w:noProof/>
              </w:rPr>
              <w:footnoteReference w:id="17"/>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2017</w:t>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2018</w:t>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2019</w:t>
            </w:r>
          </w:p>
        </w:tc>
        <w:tc>
          <w:tcPr>
            <w:tcW w:w="2604" w:type="dxa"/>
            <w:gridSpan w:val="3"/>
            <w:vAlign w:val="center"/>
          </w:tcPr>
          <w:p w:rsidR="001449F2" w:rsidRDefault="002324A9">
            <w:pPr>
              <w:jc w:val="center"/>
              <w:rPr>
                <w:b/>
                <w:noProof/>
                <w:sz w:val="18"/>
                <w:lang w:eastAsia="et-EE" w:bidi="et-EE"/>
              </w:rPr>
            </w:pPr>
            <w:r>
              <w:rPr>
                <w:b/>
                <w:noProof/>
                <w:sz w:val="20"/>
                <w:lang w:eastAsia="et-EE" w:bidi="et-EE"/>
              </w:rPr>
              <w:t xml:space="preserve">2020 </w:t>
            </w:r>
          </w:p>
        </w:tc>
        <w:tc>
          <w:tcPr>
            <w:tcW w:w="1777" w:type="dxa"/>
            <w:vAlign w:val="center"/>
          </w:tcPr>
          <w:p w:rsidR="001449F2" w:rsidRDefault="002324A9">
            <w:pPr>
              <w:jc w:val="center"/>
              <w:rPr>
                <w:b/>
                <w:noProof/>
                <w:sz w:val="20"/>
                <w:lang w:eastAsia="et-EE" w:bidi="et-EE"/>
              </w:rPr>
            </w:pPr>
            <w:r>
              <w:rPr>
                <w:b/>
                <w:noProof/>
                <w:sz w:val="20"/>
                <w:lang w:eastAsia="et-EE" w:bidi="et-EE"/>
              </w:rPr>
              <w:t>KOKKU</w:t>
            </w:r>
          </w:p>
        </w:tc>
      </w:tr>
      <w:tr w:rsidR="001449F2">
        <w:trPr>
          <w:trHeight w:val="213"/>
        </w:trPr>
        <w:tc>
          <w:tcPr>
            <w:tcW w:w="6054" w:type="dxa"/>
            <w:gridSpan w:val="4"/>
            <w:vAlign w:val="center"/>
          </w:tcPr>
          <w:p w:rsidR="001449F2" w:rsidRDefault="002324A9">
            <w:pPr>
              <w:spacing w:before="20" w:after="20"/>
              <w:rPr>
                <w:noProof/>
                <w:sz w:val="21"/>
                <w:lang w:eastAsia="et-EE" w:bidi="et-EE"/>
              </w:rPr>
            </w:pPr>
            <w:r>
              <w:rPr>
                <w:noProof/>
                <w:sz w:val="21"/>
                <w:lang w:eastAsia="et-EE" w:bidi="et-EE"/>
              </w:rPr>
              <w:sym w:font="Wingdings" w:char="F09F"/>
            </w:r>
            <w:r>
              <w:rPr>
                <w:noProof/>
                <w:lang w:eastAsia="et-EE" w:bidi="et-EE"/>
              </w:rPr>
              <w:t>Tegevusassigneeringud</w:t>
            </w:r>
          </w:p>
        </w:tc>
        <w:tc>
          <w:tcPr>
            <w:tcW w:w="868" w:type="dxa"/>
            <w:vAlign w:val="center"/>
          </w:tcPr>
          <w:p w:rsidR="001449F2" w:rsidRDefault="001449F2">
            <w:pPr>
              <w:rPr>
                <w:noProof/>
                <w:sz w:val="20"/>
                <w:lang w:eastAsia="et-EE" w:bidi="et-EE"/>
              </w:rPr>
            </w:pPr>
          </w:p>
        </w:tc>
        <w:tc>
          <w:tcPr>
            <w:tcW w:w="868" w:type="dxa"/>
            <w:vAlign w:val="center"/>
          </w:tcPr>
          <w:p w:rsidR="001449F2" w:rsidRDefault="001449F2">
            <w:pPr>
              <w:rPr>
                <w:noProof/>
                <w:sz w:val="20"/>
                <w:lang w:eastAsia="et-EE" w:bidi="et-EE"/>
              </w:rPr>
            </w:pPr>
          </w:p>
        </w:tc>
        <w:tc>
          <w:tcPr>
            <w:tcW w:w="868" w:type="dxa"/>
            <w:vAlign w:val="center"/>
          </w:tcPr>
          <w:p w:rsidR="001449F2" w:rsidRDefault="001449F2">
            <w:pPr>
              <w:rPr>
                <w:noProof/>
                <w:sz w:val="20"/>
                <w:lang w:eastAsia="et-EE" w:bidi="et-EE"/>
              </w:rPr>
            </w:pPr>
          </w:p>
        </w:tc>
        <w:tc>
          <w:tcPr>
            <w:tcW w:w="868" w:type="dxa"/>
            <w:vAlign w:val="center"/>
          </w:tcPr>
          <w:p w:rsidR="001449F2" w:rsidRDefault="001449F2">
            <w:pPr>
              <w:rPr>
                <w:noProof/>
                <w:sz w:val="20"/>
                <w:lang w:eastAsia="et-EE" w:bidi="et-EE"/>
              </w:rPr>
            </w:pPr>
          </w:p>
        </w:tc>
        <w:tc>
          <w:tcPr>
            <w:tcW w:w="868" w:type="dxa"/>
            <w:vAlign w:val="center"/>
          </w:tcPr>
          <w:p w:rsidR="001449F2" w:rsidRDefault="001449F2">
            <w:pPr>
              <w:rPr>
                <w:noProof/>
                <w:sz w:val="20"/>
                <w:lang w:eastAsia="et-EE" w:bidi="et-EE"/>
              </w:rPr>
            </w:pPr>
          </w:p>
        </w:tc>
        <w:tc>
          <w:tcPr>
            <w:tcW w:w="868" w:type="dxa"/>
            <w:vAlign w:val="center"/>
          </w:tcPr>
          <w:p w:rsidR="001449F2" w:rsidRDefault="001449F2">
            <w:pPr>
              <w:rPr>
                <w:noProof/>
                <w:sz w:val="20"/>
                <w:lang w:eastAsia="et-EE" w:bidi="et-EE"/>
              </w:rPr>
            </w:pPr>
          </w:p>
        </w:tc>
        <w:tc>
          <w:tcPr>
            <w:tcW w:w="868" w:type="dxa"/>
            <w:vAlign w:val="center"/>
          </w:tcPr>
          <w:p w:rsidR="001449F2" w:rsidRDefault="001449F2">
            <w:pPr>
              <w:rPr>
                <w:b/>
                <w:noProof/>
                <w:sz w:val="20"/>
                <w:lang w:eastAsia="et-EE" w:bidi="et-EE"/>
              </w:rPr>
            </w:pPr>
          </w:p>
        </w:tc>
        <w:tc>
          <w:tcPr>
            <w:tcW w:w="1777" w:type="dxa"/>
            <w:vAlign w:val="center"/>
          </w:tcPr>
          <w:p w:rsidR="001449F2" w:rsidRDefault="001449F2">
            <w:pPr>
              <w:rPr>
                <w:b/>
                <w:noProof/>
                <w:sz w:val="20"/>
                <w:lang w:eastAsia="et-EE" w:bidi="et-EE"/>
              </w:rPr>
            </w:pPr>
          </w:p>
        </w:tc>
      </w:tr>
      <w:tr w:rsidR="001449F2">
        <w:trPr>
          <w:trHeight w:val="277"/>
        </w:trPr>
        <w:tc>
          <w:tcPr>
            <w:tcW w:w="3960" w:type="dxa"/>
            <w:vMerge w:val="restart"/>
            <w:vAlign w:val="center"/>
          </w:tcPr>
          <w:p w:rsidR="001449F2" w:rsidRDefault="002324A9">
            <w:pPr>
              <w:rPr>
                <w:noProof/>
                <w:lang w:eastAsia="et-EE" w:bidi="et-EE"/>
              </w:rPr>
            </w:pPr>
            <w:r>
              <w:rPr>
                <w:noProof/>
                <w:lang w:eastAsia="et-EE" w:bidi="et-EE"/>
              </w:rPr>
              <w:t>Eelarverida 14.0301</w:t>
            </w:r>
          </w:p>
        </w:tc>
        <w:tc>
          <w:tcPr>
            <w:tcW w:w="1440" w:type="dxa"/>
            <w:vAlign w:val="center"/>
          </w:tcPr>
          <w:p w:rsidR="001449F2" w:rsidRDefault="002324A9">
            <w:pPr>
              <w:spacing w:before="20" w:after="20"/>
              <w:rPr>
                <w:noProof/>
                <w:sz w:val="18"/>
                <w:lang w:eastAsia="et-EE" w:bidi="et-EE"/>
              </w:rPr>
            </w:pPr>
            <w:r>
              <w:rPr>
                <w:noProof/>
                <w:sz w:val="18"/>
                <w:lang w:eastAsia="et-EE" w:bidi="et-EE"/>
              </w:rPr>
              <w:t>Kulukohustused</w:t>
            </w:r>
          </w:p>
        </w:tc>
        <w:tc>
          <w:tcPr>
            <w:tcW w:w="654" w:type="dxa"/>
            <w:gridSpan w:val="2"/>
            <w:vAlign w:val="center"/>
          </w:tcPr>
          <w:p w:rsidR="001449F2" w:rsidRDefault="002324A9">
            <w:pPr>
              <w:spacing w:before="20" w:after="20"/>
              <w:jc w:val="center"/>
              <w:rPr>
                <w:noProof/>
                <w:sz w:val="14"/>
                <w:lang w:eastAsia="et-EE" w:bidi="et-EE"/>
              </w:rPr>
            </w:pPr>
            <w:r>
              <w:rPr>
                <w:noProof/>
                <w:sz w:val="14"/>
                <w:lang w:eastAsia="et-EE" w:bidi="et-EE"/>
              </w:rPr>
              <w:t>(1)</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r w:rsidR="001449F2">
        <w:tc>
          <w:tcPr>
            <w:tcW w:w="3960" w:type="dxa"/>
            <w:vMerge/>
          </w:tcPr>
          <w:p w:rsidR="001449F2" w:rsidRDefault="001449F2">
            <w:pPr>
              <w:jc w:val="center"/>
              <w:rPr>
                <w:noProof/>
                <w:sz w:val="20"/>
                <w:lang w:eastAsia="et-EE" w:bidi="et-EE"/>
              </w:rPr>
            </w:pPr>
          </w:p>
        </w:tc>
        <w:tc>
          <w:tcPr>
            <w:tcW w:w="1440" w:type="dxa"/>
            <w:vAlign w:val="center"/>
          </w:tcPr>
          <w:p w:rsidR="001449F2" w:rsidRDefault="002324A9">
            <w:pPr>
              <w:spacing w:before="20" w:after="20"/>
              <w:rPr>
                <w:noProof/>
                <w:sz w:val="18"/>
                <w:lang w:eastAsia="et-EE" w:bidi="et-EE"/>
              </w:rPr>
            </w:pPr>
            <w:r>
              <w:rPr>
                <w:noProof/>
                <w:sz w:val="18"/>
                <w:lang w:eastAsia="et-EE" w:bidi="et-EE"/>
              </w:rPr>
              <w:t>Maksed</w:t>
            </w:r>
          </w:p>
        </w:tc>
        <w:tc>
          <w:tcPr>
            <w:tcW w:w="654" w:type="dxa"/>
            <w:gridSpan w:val="2"/>
            <w:vAlign w:val="center"/>
          </w:tcPr>
          <w:p w:rsidR="001449F2" w:rsidRDefault="002324A9">
            <w:pPr>
              <w:spacing w:before="20" w:after="20"/>
              <w:jc w:val="center"/>
              <w:rPr>
                <w:noProof/>
                <w:sz w:val="14"/>
                <w:lang w:eastAsia="et-EE" w:bidi="et-EE"/>
              </w:rPr>
            </w:pPr>
            <w:r>
              <w:rPr>
                <w:noProof/>
                <w:sz w:val="14"/>
                <w:lang w:eastAsia="et-EE" w:bidi="et-EE"/>
              </w:rPr>
              <w:t>(2)</w:t>
            </w:r>
          </w:p>
        </w:tc>
        <w:tc>
          <w:tcPr>
            <w:tcW w:w="868" w:type="dxa"/>
            <w:vAlign w:val="center"/>
          </w:tcPr>
          <w:p w:rsidR="001449F2" w:rsidRDefault="002324A9">
            <w:pPr>
              <w:spacing w:before="20" w:after="20"/>
              <w:jc w:val="right"/>
              <w:rPr>
                <w:noProof/>
                <w:lang w:eastAsia="et-EE" w:bidi="et-EE"/>
              </w:rPr>
            </w:pPr>
            <w:r>
              <w:rPr>
                <w:noProof/>
                <w:lang w:eastAsia="et-EE" w:bidi="et-EE"/>
              </w:rPr>
              <w:t>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r w:rsidR="001449F2">
        <w:tc>
          <w:tcPr>
            <w:tcW w:w="3960" w:type="dxa"/>
            <w:vMerge w:val="restart"/>
            <w:vAlign w:val="center"/>
          </w:tcPr>
          <w:p w:rsidR="001449F2" w:rsidRDefault="002324A9">
            <w:pPr>
              <w:rPr>
                <w:noProof/>
                <w:lang w:eastAsia="et-EE" w:bidi="et-EE"/>
              </w:rPr>
            </w:pPr>
            <w:r>
              <w:rPr>
                <w:noProof/>
                <w:sz w:val="20"/>
                <w:lang w:eastAsia="et-EE" w:bidi="et-EE"/>
              </w:rPr>
              <w:t>Eelarverida nr</w:t>
            </w:r>
          </w:p>
        </w:tc>
        <w:tc>
          <w:tcPr>
            <w:tcW w:w="1440" w:type="dxa"/>
            <w:vAlign w:val="center"/>
          </w:tcPr>
          <w:p w:rsidR="001449F2" w:rsidRDefault="002324A9">
            <w:pPr>
              <w:spacing w:before="20" w:after="20"/>
              <w:rPr>
                <w:noProof/>
                <w:sz w:val="18"/>
                <w:lang w:eastAsia="et-EE" w:bidi="et-EE"/>
              </w:rPr>
            </w:pPr>
            <w:r>
              <w:rPr>
                <w:noProof/>
                <w:sz w:val="18"/>
                <w:lang w:eastAsia="et-EE" w:bidi="et-EE"/>
              </w:rPr>
              <w:t>Kulukohustused</w:t>
            </w:r>
          </w:p>
        </w:tc>
        <w:tc>
          <w:tcPr>
            <w:tcW w:w="654" w:type="dxa"/>
            <w:gridSpan w:val="2"/>
            <w:vAlign w:val="center"/>
          </w:tcPr>
          <w:p w:rsidR="001449F2" w:rsidRDefault="002324A9">
            <w:pPr>
              <w:spacing w:before="20" w:after="20"/>
              <w:jc w:val="center"/>
              <w:rPr>
                <w:noProof/>
                <w:sz w:val="14"/>
                <w:lang w:eastAsia="et-EE" w:bidi="et-EE"/>
              </w:rPr>
            </w:pPr>
            <w:r>
              <w:rPr>
                <w:noProof/>
                <w:sz w:val="14"/>
                <w:lang w:eastAsia="et-EE" w:bidi="et-EE"/>
              </w:rPr>
              <w:t>(1a)</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vAlign w:val="center"/>
          </w:tcPr>
          <w:p w:rsidR="001449F2" w:rsidRDefault="001449F2">
            <w:pPr>
              <w:spacing w:before="20" w:after="20"/>
              <w:jc w:val="right"/>
              <w:rPr>
                <w:noProof/>
                <w:lang w:eastAsia="et-EE" w:bidi="et-EE"/>
              </w:rPr>
            </w:pPr>
          </w:p>
        </w:tc>
      </w:tr>
      <w:tr w:rsidR="001449F2">
        <w:tc>
          <w:tcPr>
            <w:tcW w:w="3960" w:type="dxa"/>
            <w:vMerge/>
          </w:tcPr>
          <w:p w:rsidR="001449F2" w:rsidRDefault="001449F2">
            <w:pPr>
              <w:jc w:val="center"/>
              <w:rPr>
                <w:noProof/>
                <w:sz w:val="20"/>
                <w:lang w:eastAsia="et-EE" w:bidi="et-EE"/>
              </w:rPr>
            </w:pPr>
          </w:p>
        </w:tc>
        <w:tc>
          <w:tcPr>
            <w:tcW w:w="1440" w:type="dxa"/>
            <w:vAlign w:val="center"/>
          </w:tcPr>
          <w:p w:rsidR="001449F2" w:rsidRDefault="002324A9">
            <w:pPr>
              <w:spacing w:before="20" w:after="20"/>
              <w:rPr>
                <w:noProof/>
                <w:sz w:val="18"/>
                <w:lang w:eastAsia="et-EE" w:bidi="et-EE"/>
              </w:rPr>
            </w:pPr>
            <w:r>
              <w:rPr>
                <w:noProof/>
                <w:sz w:val="18"/>
                <w:lang w:eastAsia="et-EE" w:bidi="et-EE"/>
              </w:rPr>
              <w:t>Maksed</w:t>
            </w:r>
          </w:p>
        </w:tc>
        <w:tc>
          <w:tcPr>
            <w:tcW w:w="654" w:type="dxa"/>
            <w:gridSpan w:val="2"/>
            <w:vAlign w:val="center"/>
          </w:tcPr>
          <w:p w:rsidR="001449F2" w:rsidRDefault="002324A9">
            <w:pPr>
              <w:spacing w:before="20" w:after="20"/>
              <w:jc w:val="center"/>
              <w:rPr>
                <w:noProof/>
                <w:sz w:val="14"/>
                <w:lang w:eastAsia="et-EE" w:bidi="et-EE"/>
              </w:rPr>
            </w:pPr>
            <w:r>
              <w:rPr>
                <w:noProof/>
                <w:sz w:val="14"/>
                <w:lang w:eastAsia="et-EE" w:bidi="et-EE"/>
              </w:rPr>
              <w:t>(2a)</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vAlign w:val="center"/>
          </w:tcPr>
          <w:p w:rsidR="001449F2" w:rsidRDefault="001449F2">
            <w:pPr>
              <w:spacing w:before="20" w:after="20"/>
              <w:jc w:val="right"/>
              <w:rPr>
                <w:noProof/>
                <w:lang w:eastAsia="et-EE" w:bidi="et-EE"/>
              </w:rPr>
            </w:pPr>
          </w:p>
        </w:tc>
      </w:tr>
      <w:tr w:rsidR="001449F2">
        <w:trPr>
          <w:trHeight w:val="231"/>
        </w:trPr>
        <w:tc>
          <w:tcPr>
            <w:tcW w:w="6054" w:type="dxa"/>
            <w:gridSpan w:val="4"/>
            <w:vAlign w:val="center"/>
          </w:tcPr>
          <w:p w:rsidR="001449F2" w:rsidRDefault="002324A9">
            <w:pPr>
              <w:spacing w:before="20" w:after="20"/>
              <w:rPr>
                <w:noProof/>
                <w:lang w:eastAsia="et-EE" w:bidi="et-EE"/>
              </w:rPr>
            </w:pPr>
            <w:r>
              <w:rPr>
                <w:noProof/>
                <w:sz w:val="21"/>
                <w:lang w:eastAsia="et-EE" w:bidi="et-EE"/>
              </w:rPr>
              <w:t>Eriprogrammide vahenditest rahastatavad haldusassigneeringud</w:t>
            </w:r>
            <w:r>
              <w:rPr>
                <w:rStyle w:val="FootnoteReference"/>
                <w:noProof/>
              </w:rPr>
              <w:footnoteReference w:id="18"/>
            </w:r>
            <w:r>
              <w:rPr>
                <w:noProof/>
                <w:sz w:val="21"/>
                <w:lang w:eastAsia="et-EE" w:bidi="et-EE"/>
              </w:rPr>
              <w:t xml:space="preserve"> </w:t>
            </w:r>
          </w:p>
          <w:p w:rsidR="001449F2" w:rsidRDefault="001449F2">
            <w:pPr>
              <w:spacing w:before="0" w:after="0"/>
              <w:rPr>
                <w:noProof/>
                <w:lang w:eastAsia="et-EE" w:bidi="et-EE"/>
              </w:rPr>
            </w:pP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vAlign w:val="center"/>
          </w:tcPr>
          <w:p w:rsidR="001449F2" w:rsidRDefault="001449F2">
            <w:pPr>
              <w:rPr>
                <w:noProof/>
                <w:lang w:eastAsia="et-EE" w:bidi="et-EE"/>
              </w:rPr>
            </w:pPr>
          </w:p>
        </w:tc>
      </w:tr>
      <w:tr w:rsidR="001449F2">
        <w:trPr>
          <w:trHeight w:val="319"/>
        </w:trPr>
        <w:tc>
          <w:tcPr>
            <w:tcW w:w="3960" w:type="dxa"/>
            <w:vAlign w:val="center"/>
          </w:tcPr>
          <w:p w:rsidR="001449F2" w:rsidRDefault="002324A9">
            <w:pPr>
              <w:spacing w:before="60" w:after="60"/>
              <w:rPr>
                <w:noProof/>
                <w:lang w:eastAsia="et-EE" w:bidi="et-EE"/>
              </w:rPr>
            </w:pPr>
            <w:r>
              <w:rPr>
                <w:noProof/>
                <w:sz w:val="20"/>
                <w:lang w:eastAsia="et-EE" w:bidi="et-EE"/>
              </w:rPr>
              <w:t>Eelarverida nr</w:t>
            </w:r>
          </w:p>
        </w:tc>
        <w:tc>
          <w:tcPr>
            <w:tcW w:w="1440" w:type="dxa"/>
            <w:vAlign w:val="center"/>
          </w:tcPr>
          <w:p w:rsidR="001449F2" w:rsidRDefault="001449F2">
            <w:pPr>
              <w:spacing w:before="40" w:after="40"/>
              <w:jc w:val="right"/>
              <w:rPr>
                <w:noProof/>
                <w:sz w:val="18"/>
                <w:lang w:eastAsia="et-EE" w:bidi="et-EE"/>
              </w:rPr>
            </w:pPr>
          </w:p>
        </w:tc>
        <w:tc>
          <w:tcPr>
            <w:tcW w:w="654" w:type="dxa"/>
            <w:gridSpan w:val="2"/>
            <w:vAlign w:val="center"/>
          </w:tcPr>
          <w:p w:rsidR="001449F2" w:rsidRDefault="002324A9">
            <w:pPr>
              <w:spacing w:before="40" w:after="40"/>
              <w:jc w:val="center"/>
              <w:rPr>
                <w:noProof/>
                <w:sz w:val="14"/>
                <w:lang w:eastAsia="et-EE" w:bidi="et-EE"/>
              </w:rPr>
            </w:pPr>
            <w:r>
              <w:rPr>
                <w:noProof/>
                <w:sz w:val="14"/>
                <w:lang w:eastAsia="et-EE" w:bidi="et-EE"/>
              </w:rPr>
              <w:t>(3)</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vAlign w:val="center"/>
          </w:tcPr>
          <w:p w:rsidR="001449F2" w:rsidRDefault="001449F2">
            <w:pPr>
              <w:spacing w:before="40" w:after="40"/>
              <w:jc w:val="right"/>
              <w:rPr>
                <w:noProof/>
                <w:lang w:eastAsia="et-EE" w:bidi="et-EE"/>
              </w:rPr>
            </w:pPr>
          </w:p>
        </w:tc>
      </w:tr>
      <w:tr w:rsidR="001449F2">
        <w:tc>
          <w:tcPr>
            <w:tcW w:w="3960" w:type="dxa"/>
            <w:vMerge w:val="restart"/>
            <w:vAlign w:val="center"/>
          </w:tcPr>
          <w:p w:rsidR="001449F2" w:rsidRDefault="002324A9">
            <w:pPr>
              <w:jc w:val="center"/>
              <w:rPr>
                <w:b/>
                <w:noProof/>
                <w:lang w:eastAsia="et-EE" w:bidi="et-EE"/>
              </w:rPr>
            </w:pPr>
            <w:r>
              <w:rPr>
                <w:noProof/>
                <w:lang w:eastAsia="et-EE" w:bidi="et-EE"/>
              </w:rPr>
              <w:t xml:space="preserve">Maksunduse ja tolliliidu </w:t>
            </w:r>
            <w:r>
              <w:rPr>
                <w:b/>
                <w:noProof/>
                <w:lang w:eastAsia="et-EE" w:bidi="et-EE"/>
              </w:rPr>
              <w:t>peadirektoraadi</w:t>
            </w:r>
            <w:r>
              <w:rPr>
                <w:noProof/>
                <w:lang w:eastAsia="et-EE" w:bidi="et-EE"/>
              </w:rPr>
              <w:br/>
            </w:r>
            <w:r>
              <w:rPr>
                <w:b/>
                <w:noProof/>
                <w:lang w:eastAsia="et-EE" w:bidi="et-EE"/>
              </w:rPr>
              <w:t>assigneeringud KOKKU</w:t>
            </w:r>
          </w:p>
        </w:tc>
        <w:tc>
          <w:tcPr>
            <w:tcW w:w="1440" w:type="dxa"/>
            <w:vAlign w:val="center"/>
          </w:tcPr>
          <w:p w:rsidR="001449F2" w:rsidRDefault="002324A9">
            <w:pPr>
              <w:rPr>
                <w:noProof/>
                <w:sz w:val="18"/>
                <w:lang w:eastAsia="et-EE" w:bidi="et-EE"/>
              </w:rPr>
            </w:pPr>
            <w:r>
              <w:rPr>
                <w:noProof/>
                <w:sz w:val="18"/>
                <w:lang w:eastAsia="et-EE" w:bidi="et-EE"/>
              </w:rPr>
              <w:t>Kulukohustused</w:t>
            </w:r>
          </w:p>
        </w:tc>
        <w:tc>
          <w:tcPr>
            <w:tcW w:w="654" w:type="dxa"/>
            <w:gridSpan w:val="2"/>
            <w:vAlign w:val="center"/>
          </w:tcPr>
          <w:p w:rsidR="001449F2" w:rsidRDefault="002324A9">
            <w:pPr>
              <w:jc w:val="center"/>
              <w:rPr>
                <w:noProof/>
                <w:sz w:val="14"/>
                <w:lang w:eastAsia="et-EE" w:bidi="et-EE"/>
              </w:rPr>
            </w:pPr>
            <w:r>
              <w:rPr>
                <w:noProof/>
                <w:sz w:val="14"/>
                <w:lang w:eastAsia="et-EE" w:bidi="et-EE"/>
              </w:rPr>
              <w:t>=1+1a +3</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r w:rsidR="001449F2">
        <w:tc>
          <w:tcPr>
            <w:tcW w:w="3960" w:type="dxa"/>
            <w:vMerge/>
          </w:tcPr>
          <w:p w:rsidR="001449F2" w:rsidRDefault="001449F2">
            <w:pPr>
              <w:rPr>
                <w:noProof/>
                <w:sz w:val="20"/>
                <w:lang w:eastAsia="et-EE" w:bidi="et-EE"/>
              </w:rPr>
            </w:pPr>
          </w:p>
        </w:tc>
        <w:tc>
          <w:tcPr>
            <w:tcW w:w="1440" w:type="dxa"/>
            <w:vAlign w:val="center"/>
          </w:tcPr>
          <w:p w:rsidR="001449F2" w:rsidRDefault="002324A9">
            <w:pPr>
              <w:rPr>
                <w:noProof/>
                <w:sz w:val="18"/>
                <w:lang w:eastAsia="et-EE" w:bidi="et-EE"/>
              </w:rPr>
            </w:pPr>
            <w:r>
              <w:rPr>
                <w:noProof/>
                <w:sz w:val="18"/>
                <w:lang w:eastAsia="et-EE" w:bidi="et-EE"/>
              </w:rPr>
              <w:t>Maksed</w:t>
            </w:r>
          </w:p>
        </w:tc>
        <w:tc>
          <w:tcPr>
            <w:tcW w:w="654" w:type="dxa"/>
            <w:gridSpan w:val="2"/>
            <w:vAlign w:val="center"/>
          </w:tcPr>
          <w:p w:rsidR="001449F2" w:rsidRDefault="002324A9">
            <w:pPr>
              <w:jc w:val="center"/>
              <w:rPr>
                <w:noProof/>
                <w:sz w:val="14"/>
                <w:lang w:eastAsia="et-EE" w:bidi="et-EE"/>
              </w:rPr>
            </w:pPr>
            <w:r>
              <w:rPr>
                <w:noProof/>
                <w:sz w:val="14"/>
                <w:lang w:eastAsia="et-EE" w:bidi="et-EE"/>
              </w:rPr>
              <w:t>=2+2a</w:t>
            </w:r>
          </w:p>
          <w:p w:rsidR="001449F2" w:rsidRDefault="002324A9">
            <w:pPr>
              <w:jc w:val="center"/>
              <w:rPr>
                <w:noProof/>
                <w:sz w:val="14"/>
                <w:lang w:eastAsia="et-EE" w:bidi="et-EE"/>
              </w:rPr>
            </w:pPr>
            <w:r>
              <w:rPr>
                <w:noProof/>
                <w:sz w:val="14"/>
                <w:lang w:eastAsia="et-EE" w:bidi="et-EE"/>
              </w:rPr>
              <w:lastRenderedPageBreak/>
              <w:t>+3</w:t>
            </w:r>
          </w:p>
        </w:tc>
        <w:tc>
          <w:tcPr>
            <w:tcW w:w="868" w:type="dxa"/>
            <w:vAlign w:val="center"/>
          </w:tcPr>
          <w:p w:rsidR="001449F2" w:rsidRDefault="002324A9">
            <w:pPr>
              <w:spacing w:before="20" w:after="20"/>
              <w:jc w:val="right"/>
              <w:rPr>
                <w:noProof/>
                <w:lang w:eastAsia="et-EE" w:bidi="et-EE"/>
              </w:rPr>
            </w:pPr>
            <w:r>
              <w:rPr>
                <w:noProof/>
                <w:lang w:eastAsia="et-EE" w:bidi="et-EE"/>
              </w:rPr>
              <w:lastRenderedPageBreak/>
              <w:t>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bl>
    <w:p w:rsidR="001449F2" w:rsidRDefault="001449F2">
      <w:pPr>
        <w:rPr>
          <w:noProof/>
          <w:lang w:eastAsia="et-EE" w:bidi="et-E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449F2">
        <w:trPr>
          <w:trHeight w:val="277"/>
        </w:trPr>
        <w:tc>
          <w:tcPr>
            <w:tcW w:w="3960" w:type="dxa"/>
            <w:vMerge w:val="restart"/>
            <w:vAlign w:val="center"/>
          </w:tcPr>
          <w:p w:rsidR="001449F2" w:rsidRDefault="002324A9">
            <w:pPr>
              <w:spacing w:before="20" w:after="20"/>
              <w:rPr>
                <w:noProof/>
                <w:lang w:eastAsia="et-EE" w:bidi="et-EE"/>
              </w:rPr>
            </w:pPr>
            <w:r>
              <w:rPr>
                <w:noProof/>
                <w:lang w:eastAsia="et-EE" w:bidi="et-EE"/>
              </w:rPr>
              <w:br w:type="page"/>
            </w:r>
            <w:r>
              <w:rPr>
                <w:noProof/>
                <w:sz w:val="21"/>
                <w:lang w:eastAsia="et-EE" w:bidi="et-EE"/>
              </w:rPr>
              <w:sym w:font="Wingdings" w:char="F09F"/>
            </w:r>
            <w:r>
              <w:rPr>
                <w:noProof/>
                <w:lang w:eastAsia="et-EE" w:bidi="et-EE"/>
              </w:rPr>
              <w:t>Tegevusassigneeringud KOKKU</w:t>
            </w:r>
          </w:p>
        </w:tc>
        <w:tc>
          <w:tcPr>
            <w:tcW w:w="1440" w:type="dxa"/>
            <w:vAlign w:val="center"/>
          </w:tcPr>
          <w:p w:rsidR="001449F2" w:rsidRDefault="002324A9" w:rsidP="00243171">
            <w:pPr>
              <w:spacing w:beforeLines="20" w:before="48" w:afterLines="20" w:after="48"/>
              <w:rPr>
                <w:noProof/>
                <w:sz w:val="18"/>
                <w:lang w:eastAsia="et-EE" w:bidi="et-EE"/>
              </w:rPr>
            </w:pPr>
            <w:r>
              <w:rPr>
                <w:noProof/>
                <w:sz w:val="18"/>
                <w:lang w:eastAsia="et-EE" w:bidi="et-EE"/>
              </w:rPr>
              <w:t>Kulukohustused</w:t>
            </w:r>
          </w:p>
        </w:tc>
        <w:tc>
          <w:tcPr>
            <w:tcW w:w="654" w:type="dxa"/>
            <w:vAlign w:val="center"/>
          </w:tcPr>
          <w:p w:rsidR="001449F2" w:rsidRDefault="002324A9" w:rsidP="00243171">
            <w:pPr>
              <w:spacing w:beforeLines="20" w:before="48" w:afterLines="20" w:after="48"/>
              <w:jc w:val="center"/>
              <w:rPr>
                <w:noProof/>
                <w:sz w:val="14"/>
                <w:lang w:eastAsia="et-EE" w:bidi="et-EE"/>
              </w:rPr>
            </w:pPr>
            <w:r>
              <w:rPr>
                <w:noProof/>
                <w:sz w:val="14"/>
                <w:lang w:eastAsia="et-EE" w:bidi="et-EE"/>
              </w:rPr>
              <w:t>(4)</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r w:rsidR="001449F2">
        <w:tc>
          <w:tcPr>
            <w:tcW w:w="3960" w:type="dxa"/>
            <w:vMerge/>
          </w:tcPr>
          <w:p w:rsidR="001449F2" w:rsidRDefault="001449F2">
            <w:pPr>
              <w:jc w:val="center"/>
              <w:rPr>
                <w:noProof/>
                <w:sz w:val="20"/>
                <w:lang w:eastAsia="et-EE" w:bidi="et-EE"/>
              </w:rPr>
            </w:pPr>
          </w:p>
        </w:tc>
        <w:tc>
          <w:tcPr>
            <w:tcW w:w="1440" w:type="dxa"/>
            <w:vAlign w:val="center"/>
          </w:tcPr>
          <w:p w:rsidR="001449F2" w:rsidRDefault="002324A9" w:rsidP="00243171">
            <w:pPr>
              <w:spacing w:beforeLines="20" w:before="48" w:afterLines="20" w:after="48"/>
              <w:rPr>
                <w:noProof/>
                <w:sz w:val="18"/>
                <w:lang w:eastAsia="et-EE" w:bidi="et-EE"/>
              </w:rPr>
            </w:pPr>
            <w:r>
              <w:rPr>
                <w:noProof/>
                <w:sz w:val="18"/>
                <w:lang w:eastAsia="et-EE" w:bidi="et-EE"/>
              </w:rPr>
              <w:t>Maksed</w:t>
            </w:r>
          </w:p>
        </w:tc>
        <w:tc>
          <w:tcPr>
            <w:tcW w:w="654" w:type="dxa"/>
            <w:vAlign w:val="center"/>
          </w:tcPr>
          <w:p w:rsidR="001449F2" w:rsidRDefault="002324A9" w:rsidP="00243171">
            <w:pPr>
              <w:spacing w:beforeLines="20" w:before="48" w:afterLines="20" w:after="48"/>
              <w:jc w:val="center"/>
              <w:rPr>
                <w:noProof/>
                <w:sz w:val="14"/>
                <w:lang w:eastAsia="et-EE" w:bidi="et-EE"/>
              </w:rPr>
            </w:pPr>
            <w:r>
              <w:rPr>
                <w:noProof/>
                <w:sz w:val="14"/>
                <w:lang w:eastAsia="et-EE" w:bidi="et-EE"/>
              </w:rPr>
              <w:t>(5)</w:t>
            </w:r>
          </w:p>
        </w:tc>
        <w:tc>
          <w:tcPr>
            <w:tcW w:w="868" w:type="dxa"/>
            <w:vAlign w:val="center"/>
          </w:tcPr>
          <w:p w:rsidR="001449F2" w:rsidRDefault="002324A9">
            <w:pPr>
              <w:spacing w:before="20" w:after="20"/>
              <w:jc w:val="right"/>
              <w:rPr>
                <w:noProof/>
                <w:lang w:eastAsia="et-EE" w:bidi="et-EE"/>
              </w:rPr>
            </w:pPr>
            <w:r>
              <w:rPr>
                <w:noProof/>
                <w:lang w:eastAsia="et-EE" w:bidi="et-EE"/>
              </w:rPr>
              <w:t>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r w:rsidR="001449F2">
        <w:trPr>
          <w:trHeight w:val="533"/>
        </w:trPr>
        <w:tc>
          <w:tcPr>
            <w:tcW w:w="5400" w:type="dxa"/>
            <w:gridSpan w:val="2"/>
            <w:vAlign w:val="center"/>
          </w:tcPr>
          <w:p w:rsidR="001449F2" w:rsidRDefault="002324A9" w:rsidP="00243171">
            <w:pPr>
              <w:spacing w:beforeLines="20" w:before="48" w:afterLines="20" w:after="48"/>
              <w:rPr>
                <w:noProof/>
                <w:lang w:eastAsia="et-EE" w:bidi="et-EE"/>
              </w:rPr>
            </w:pPr>
            <w:r>
              <w:rPr>
                <w:noProof/>
                <w:sz w:val="21"/>
                <w:lang w:eastAsia="et-EE" w:bidi="et-EE"/>
              </w:rPr>
              <w:sym w:font="Wingdings" w:char="F09F"/>
            </w:r>
            <w:r>
              <w:rPr>
                <w:noProof/>
                <w:lang w:eastAsia="et-EE" w:bidi="et-EE"/>
              </w:rPr>
              <w:t xml:space="preserve"> Eriprogrammide vahenditest rahastatavad haldusassigneeringud KOKKU</w:t>
            </w:r>
          </w:p>
        </w:tc>
        <w:tc>
          <w:tcPr>
            <w:tcW w:w="654" w:type="dxa"/>
            <w:vAlign w:val="center"/>
          </w:tcPr>
          <w:p w:rsidR="001449F2" w:rsidRDefault="002324A9" w:rsidP="00243171">
            <w:pPr>
              <w:spacing w:beforeLines="20" w:before="48" w:afterLines="20" w:after="48"/>
              <w:jc w:val="center"/>
              <w:rPr>
                <w:noProof/>
                <w:sz w:val="14"/>
                <w:lang w:eastAsia="et-EE" w:bidi="et-EE"/>
              </w:rPr>
            </w:pPr>
            <w:r>
              <w:rPr>
                <w:noProof/>
                <w:sz w:val="14"/>
                <w:lang w:eastAsia="et-EE" w:bidi="et-EE"/>
              </w:rPr>
              <w:t>(6)</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vAlign w:val="center"/>
          </w:tcPr>
          <w:p w:rsidR="001449F2" w:rsidRDefault="001449F2">
            <w:pPr>
              <w:spacing w:before="20" w:after="20"/>
              <w:jc w:val="right"/>
              <w:rPr>
                <w:b/>
                <w:noProof/>
                <w:sz w:val="20"/>
                <w:lang w:eastAsia="et-EE" w:bidi="et-EE"/>
              </w:rPr>
            </w:pPr>
          </w:p>
        </w:tc>
      </w:tr>
      <w:tr w:rsidR="001449F2">
        <w:tc>
          <w:tcPr>
            <w:tcW w:w="3960" w:type="dxa"/>
            <w:vMerge w:val="restart"/>
            <w:shd w:val="thinDiagStripe" w:color="C0C0C0" w:fill="auto"/>
            <w:vAlign w:val="center"/>
          </w:tcPr>
          <w:p w:rsidR="001449F2" w:rsidRDefault="002324A9">
            <w:pPr>
              <w:jc w:val="center"/>
              <w:rPr>
                <w:b/>
                <w:noProof/>
                <w:lang w:eastAsia="et-EE" w:bidi="et-EE"/>
              </w:rPr>
            </w:pPr>
            <w:r>
              <w:rPr>
                <w:b/>
                <w:noProof/>
                <w:lang w:eastAsia="et-EE" w:bidi="et-EE"/>
              </w:rPr>
              <w:t>Mitmeaastase finantsraamistiku</w:t>
            </w:r>
            <w:r>
              <w:rPr>
                <w:noProof/>
                <w:lang w:eastAsia="et-EE" w:bidi="et-EE"/>
              </w:rPr>
              <w:br/>
            </w:r>
            <w:r>
              <w:rPr>
                <w:b/>
                <w:noProof/>
                <w:lang w:eastAsia="et-EE" w:bidi="et-EE"/>
              </w:rPr>
              <w:t xml:space="preserve"> RUBRIIGI 1A </w:t>
            </w:r>
            <w:r>
              <w:rPr>
                <w:noProof/>
                <w:lang w:eastAsia="et-EE" w:bidi="et-EE"/>
              </w:rPr>
              <w:br/>
            </w:r>
            <w:r>
              <w:rPr>
                <w:b/>
                <w:noProof/>
                <w:lang w:eastAsia="et-EE" w:bidi="et-EE"/>
              </w:rPr>
              <w:t>assigneeringud KOKKU</w:t>
            </w:r>
          </w:p>
        </w:tc>
        <w:tc>
          <w:tcPr>
            <w:tcW w:w="1440" w:type="dxa"/>
            <w:vAlign w:val="center"/>
          </w:tcPr>
          <w:p w:rsidR="001449F2" w:rsidRDefault="002324A9">
            <w:pPr>
              <w:rPr>
                <w:noProof/>
                <w:sz w:val="18"/>
                <w:lang w:eastAsia="et-EE" w:bidi="et-EE"/>
              </w:rPr>
            </w:pPr>
            <w:r>
              <w:rPr>
                <w:noProof/>
                <w:sz w:val="18"/>
                <w:lang w:eastAsia="et-EE" w:bidi="et-EE"/>
              </w:rPr>
              <w:t>Kulukohustused</w:t>
            </w:r>
          </w:p>
        </w:tc>
        <w:tc>
          <w:tcPr>
            <w:tcW w:w="654" w:type="dxa"/>
            <w:vAlign w:val="center"/>
          </w:tcPr>
          <w:p w:rsidR="001449F2" w:rsidRDefault="002324A9">
            <w:pPr>
              <w:jc w:val="center"/>
              <w:rPr>
                <w:noProof/>
                <w:sz w:val="14"/>
                <w:lang w:eastAsia="et-EE" w:bidi="et-EE"/>
              </w:rPr>
            </w:pPr>
            <w:r>
              <w:rPr>
                <w:noProof/>
                <w:sz w:val="14"/>
                <w:lang w:eastAsia="et-EE" w:bidi="et-EE"/>
              </w:rPr>
              <w:t>=4+ 6</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r w:rsidR="001449F2">
        <w:tc>
          <w:tcPr>
            <w:tcW w:w="3960" w:type="dxa"/>
            <w:vMerge/>
            <w:shd w:val="thinDiagStripe" w:color="C0C0C0" w:fill="auto"/>
          </w:tcPr>
          <w:p w:rsidR="001449F2" w:rsidRDefault="001449F2">
            <w:pPr>
              <w:rPr>
                <w:noProof/>
                <w:sz w:val="20"/>
                <w:lang w:eastAsia="et-EE" w:bidi="et-EE"/>
              </w:rPr>
            </w:pPr>
          </w:p>
        </w:tc>
        <w:tc>
          <w:tcPr>
            <w:tcW w:w="1440" w:type="dxa"/>
            <w:vAlign w:val="center"/>
          </w:tcPr>
          <w:p w:rsidR="001449F2" w:rsidRDefault="002324A9">
            <w:pPr>
              <w:rPr>
                <w:noProof/>
                <w:sz w:val="18"/>
                <w:lang w:eastAsia="et-EE" w:bidi="et-EE"/>
              </w:rPr>
            </w:pPr>
            <w:r>
              <w:rPr>
                <w:noProof/>
                <w:sz w:val="18"/>
                <w:lang w:eastAsia="et-EE" w:bidi="et-EE"/>
              </w:rPr>
              <w:t>Maksed</w:t>
            </w:r>
          </w:p>
        </w:tc>
        <w:tc>
          <w:tcPr>
            <w:tcW w:w="654" w:type="dxa"/>
            <w:vAlign w:val="center"/>
          </w:tcPr>
          <w:p w:rsidR="001449F2" w:rsidRDefault="002324A9">
            <w:pPr>
              <w:jc w:val="center"/>
              <w:rPr>
                <w:noProof/>
                <w:sz w:val="14"/>
                <w:lang w:eastAsia="et-EE" w:bidi="et-EE"/>
              </w:rPr>
            </w:pPr>
            <w:r>
              <w:rPr>
                <w:noProof/>
                <w:sz w:val="14"/>
                <w:lang w:eastAsia="et-EE" w:bidi="et-EE"/>
              </w:rPr>
              <w:t>=5+ 6</w:t>
            </w:r>
          </w:p>
        </w:tc>
        <w:tc>
          <w:tcPr>
            <w:tcW w:w="868" w:type="dxa"/>
            <w:vAlign w:val="center"/>
          </w:tcPr>
          <w:p w:rsidR="001449F2" w:rsidRDefault="002324A9">
            <w:pPr>
              <w:spacing w:before="20" w:after="20"/>
              <w:jc w:val="right"/>
              <w:rPr>
                <w:noProof/>
                <w:lang w:eastAsia="et-EE" w:bidi="et-EE"/>
              </w:rPr>
            </w:pPr>
            <w:r>
              <w:rPr>
                <w:noProof/>
                <w:lang w:eastAsia="et-EE" w:bidi="et-EE"/>
              </w:rPr>
              <w:t>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0,300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2324A9">
            <w:pPr>
              <w:spacing w:before="20" w:after="20"/>
              <w:jc w:val="right"/>
              <w:rPr>
                <w:noProof/>
                <w:lang w:eastAsia="et-EE" w:bidi="et-EE"/>
              </w:rPr>
            </w:pPr>
            <w:r>
              <w:rPr>
                <w:noProof/>
                <w:lang w:eastAsia="et-EE" w:bidi="et-EE"/>
              </w:rPr>
              <w:t>0,050</w:t>
            </w: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1000</w:t>
            </w:r>
          </w:p>
        </w:tc>
      </w:tr>
    </w:tbl>
    <w:p w:rsidR="001449F2" w:rsidRDefault="002324A9">
      <w:pPr>
        <w:spacing w:after="240"/>
        <w:rPr>
          <w:b/>
          <w:noProof/>
          <w:sz w:val="22"/>
          <w:u w:val="single"/>
          <w:lang w:eastAsia="et-EE" w:bidi="et-EE"/>
        </w:rPr>
      </w:pPr>
      <w:r>
        <w:rPr>
          <w:b/>
          <w:noProof/>
          <w:sz w:val="22"/>
          <w:u w:val="single"/>
          <w:lang w:eastAsia="et-EE" w:bidi="et-EE"/>
        </w:rPr>
        <w:t>Juhul kui ettepanek/algatus mõjutab mitut rubriiki:</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449F2">
        <w:trPr>
          <w:trHeight w:val="277"/>
        </w:trPr>
        <w:tc>
          <w:tcPr>
            <w:tcW w:w="3960" w:type="dxa"/>
            <w:vMerge w:val="restart"/>
            <w:tcBorders>
              <w:top w:val="single" w:sz="4" w:space="0" w:color="FF0000"/>
              <w:left w:val="single" w:sz="4" w:space="0" w:color="auto"/>
              <w:bottom w:val="single" w:sz="4" w:space="0" w:color="FF0000"/>
            </w:tcBorders>
            <w:vAlign w:val="center"/>
          </w:tcPr>
          <w:p w:rsidR="001449F2" w:rsidRDefault="002324A9">
            <w:pPr>
              <w:spacing w:before="20" w:after="20"/>
              <w:rPr>
                <w:noProof/>
                <w:lang w:eastAsia="et-EE" w:bidi="et-EE"/>
              </w:rPr>
            </w:pPr>
            <w:r>
              <w:rPr>
                <w:noProof/>
                <w:sz w:val="21"/>
                <w:lang w:eastAsia="et-EE" w:bidi="et-EE"/>
              </w:rPr>
              <w:sym w:font="Wingdings" w:char="F09F"/>
            </w:r>
            <w:r>
              <w:rPr>
                <w:noProof/>
                <w:lang w:eastAsia="et-EE" w:bidi="et-EE"/>
              </w:rPr>
              <w:t>Tegevusassigneeringud KOKKU</w:t>
            </w:r>
          </w:p>
        </w:tc>
        <w:tc>
          <w:tcPr>
            <w:tcW w:w="1440" w:type="dxa"/>
            <w:tcBorders>
              <w:top w:val="single" w:sz="4" w:space="0" w:color="FF0000"/>
            </w:tcBorders>
            <w:vAlign w:val="center"/>
          </w:tcPr>
          <w:p w:rsidR="001449F2" w:rsidRDefault="002324A9" w:rsidP="00243171">
            <w:pPr>
              <w:spacing w:beforeLines="20" w:before="48" w:afterLines="20" w:after="48"/>
              <w:rPr>
                <w:noProof/>
                <w:sz w:val="18"/>
                <w:lang w:eastAsia="et-EE" w:bidi="et-EE"/>
              </w:rPr>
            </w:pPr>
            <w:r>
              <w:rPr>
                <w:noProof/>
                <w:sz w:val="18"/>
                <w:lang w:eastAsia="et-EE" w:bidi="et-EE"/>
              </w:rPr>
              <w:t>Kulukohustused</w:t>
            </w:r>
          </w:p>
        </w:tc>
        <w:tc>
          <w:tcPr>
            <w:tcW w:w="654" w:type="dxa"/>
            <w:tcBorders>
              <w:top w:val="single" w:sz="4" w:space="0" w:color="FF0000"/>
            </w:tcBorders>
            <w:vAlign w:val="center"/>
          </w:tcPr>
          <w:p w:rsidR="001449F2" w:rsidRDefault="002324A9" w:rsidP="00243171">
            <w:pPr>
              <w:spacing w:beforeLines="20" w:before="48" w:afterLines="20" w:after="48"/>
              <w:jc w:val="center"/>
              <w:rPr>
                <w:noProof/>
                <w:sz w:val="14"/>
                <w:lang w:eastAsia="et-EE" w:bidi="et-EE"/>
              </w:rPr>
            </w:pPr>
            <w:r>
              <w:rPr>
                <w:noProof/>
                <w:sz w:val="14"/>
                <w:lang w:eastAsia="et-EE" w:bidi="et-EE"/>
              </w:rPr>
              <w:t>(4)</w:t>
            </w:r>
          </w:p>
        </w:tc>
        <w:tc>
          <w:tcPr>
            <w:tcW w:w="868" w:type="dxa"/>
            <w:tcBorders>
              <w:top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top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top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top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top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top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top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1777" w:type="dxa"/>
            <w:tcBorders>
              <w:top w:val="single" w:sz="4" w:space="0" w:color="FF0000"/>
              <w:right w:val="single" w:sz="4" w:space="0" w:color="auto"/>
            </w:tcBorders>
            <w:vAlign w:val="center"/>
          </w:tcPr>
          <w:p w:rsidR="001449F2" w:rsidRDefault="001449F2">
            <w:pPr>
              <w:spacing w:before="20" w:after="20"/>
              <w:jc w:val="right"/>
              <w:rPr>
                <w:b/>
                <w:noProof/>
                <w:sz w:val="20"/>
                <w:lang w:eastAsia="et-EE" w:bidi="et-EE"/>
              </w:rPr>
            </w:pPr>
          </w:p>
        </w:tc>
      </w:tr>
      <w:tr w:rsidR="001449F2">
        <w:tc>
          <w:tcPr>
            <w:tcW w:w="3960" w:type="dxa"/>
            <w:vMerge/>
            <w:tcBorders>
              <w:top w:val="single" w:sz="4" w:space="0" w:color="FF0000"/>
              <w:left w:val="single" w:sz="4" w:space="0" w:color="auto"/>
              <w:bottom w:val="single" w:sz="4" w:space="0" w:color="FF0000"/>
            </w:tcBorders>
          </w:tcPr>
          <w:p w:rsidR="001449F2" w:rsidRDefault="001449F2">
            <w:pPr>
              <w:jc w:val="center"/>
              <w:rPr>
                <w:noProof/>
                <w:sz w:val="20"/>
                <w:lang w:eastAsia="et-EE" w:bidi="et-EE"/>
              </w:rPr>
            </w:pPr>
          </w:p>
        </w:tc>
        <w:tc>
          <w:tcPr>
            <w:tcW w:w="1440" w:type="dxa"/>
            <w:vAlign w:val="center"/>
          </w:tcPr>
          <w:p w:rsidR="001449F2" w:rsidRDefault="002324A9" w:rsidP="00243171">
            <w:pPr>
              <w:spacing w:beforeLines="20" w:before="48" w:afterLines="20" w:after="48"/>
              <w:rPr>
                <w:noProof/>
                <w:sz w:val="18"/>
                <w:lang w:eastAsia="et-EE" w:bidi="et-EE"/>
              </w:rPr>
            </w:pPr>
            <w:r>
              <w:rPr>
                <w:noProof/>
                <w:sz w:val="18"/>
                <w:lang w:eastAsia="et-EE" w:bidi="et-EE"/>
              </w:rPr>
              <w:t>Maksed</w:t>
            </w:r>
          </w:p>
        </w:tc>
        <w:tc>
          <w:tcPr>
            <w:tcW w:w="654" w:type="dxa"/>
            <w:vAlign w:val="center"/>
          </w:tcPr>
          <w:p w:rsidR="001449F2" w:rsidRDefault="002324A9" w:rsidP="00243171">
            <w:pPr>
              <w:spacing w:beforeLines="20" w:before="48" w:afterLines="20" w:after="48"/>
              <w:jc w:val="center"/>
              <w:rPr>
                <w:noProof/>
                <w:sz w:val="14"/>
                <w:lang w:eastAsia="et-EE" w:bidi="et-EE"/>
              </w:rPr>
            </w:pPr>
            <w:r>
              <w:rPr>
                <w:noProof/>
                <w:sz w:val="14"/>
                <w:lang w:eastAsia="et-EE" w:bidi="et-EE"/>
              </w:rPr>
              <w:t>(5)</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tcBorders>
              <w:right w:val="single" w:sz="4" w:space="0" w:color="auto"/>
            </w:tcBorders>
            <w:vAlign w:val="center"/>
          </w:tcPr>
          <w:p w:rsidR="001449F2" w:rsidRDefault="001449F2">
            <w:pPr>
              <w:spacing w:before="20" w:after="20"/>
              <w:jc w:val="right"/>
              <w:rPr>
                <w:b/>
                <w:noProof/>
                <w:sz w:val="20"/>
                <w:lang w:eastAsia="et-EE" w:bidi="et-EE"/>
              </w:rPr>
            </w:pPr>
          </w:p>
        </w:tc>
      </w:tr>
      <w:tr w:rsidR="001449F2">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1449F2" w:rsidRDefault="002324A9" w:rsidP="00243171">
            <w:pPr>
              <w:spacing w:beforeLines="20" w:before="48" w:afterLines="20" w:after="48"/>
              <w:rPr>
                <w:noProof/>
                <w:lang w:eastAsia="et-EE" w:bidi="et-EE"/>
              </w:rPr>
            </w:pPr>
            <w:r>
              <w:rPr>
                <w:noProof/>
                <w:sz w:val="21"/>
                <w:lang w:eastAsia="et-EE" w:bidi="et-EE"/>
              </w:rPr>
              <w:sym w:font="Wingdings" w:char="F09F"/>
            </w:r>
            <w:r>
              <w:rPr>
                <w:noProof/>
                <w:lang w:eastAsia="et-EE" w:bidi="et-EE"/>
              </w:rPr>
              <w:t xml:space="preserve"> Eriprogrammide vahenditest rahastatavad haldusassigneeringud KOKKU</w:t>
            </w:r>
          </w:p>
        </w:tc>
        <w:tc>
          <w:tcPr>
            <w:tcW w:w="654" w:type="dxa"/>
            <w:vAlign w:val="center"/>
          </w:tcPr>
          <w:p w:rsidR="001449F2" w:rsidRDefault="002324A9" w:rsidP="00243171">
            <w:pPr>
              <w:spacing w:beforeLines="20" w:before="48" w:afterLines="20" w:after="48"/>
              <w:jc w:val="center"/>
              <w:rPr>
                <w:noProof/>
                <w:sz w:val="14"/>
                <w:lang w:eastAsia="et-EE" w:bidi="et-EE"/>
              </w:rPr>
            </w:pPr>
            <w:r>
              <w:rPr>
                <w:noProof/>
                <w:sz w:val="14"/>
                <w:lang w:eastAsia="et-EE" w:bidi="et-EE"/>
              </w:rPr>
              <w:t>(6)</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vAlign w:val="center"/>
          </w:tcPr>
          <w:p w:rsidR="001449F2" w:rsidRDefault="001449F2">
            <w:pPr>
              <w:spacing w:before="20" w:after="20"/>
              <w:jc w:val="right"/>
              <w:rPr>
                <w:b/>
                <w:noProof/>
                <w:sz w:val="20"/>
                <w:lang w:eastAsia="et-EE" w:bidi="et-EE"/>
              </w:rPr>
            </w:pPr>
          </w:p>
        </w:tc>
      </w:tr>
      <w:tr w:rsidR="001449F2">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1449F2" w:rsidRDefault="002324A9">
            <w:pPr>
              <w:jc w:val="center"/>
              <w:rPr>
                <w:b/>
                <w:noProof/>
                <w:lang w:eastAsia="et-EE" w:bidi="et-EE"/>
              </w:rPr>
            </w:pPr>
            <w:r>
              <w:rPr>
                <w:noProof/>
                <w:lang w:eastAsia="et-EE" w:bidi="et-EE"/>
              </w:rPr>
              <w:t>Mitmeaastase finantsraamistiku</w:t>
            </w:r>
            <w:r>
              <w:rPr>
                <w:noProof/>
                <w:lang w:eastAsia="et-EE" w:bidi="et-EE"/>
              </w:rPr>
              <w:br/>
            </w:r>
            <w:r>
              <w:rPr>
                <w:b/>
                <w:noProof/>
                <w:lang w:eastAsia="et-EE" w:bidi="et-EE"/>
              </w:rPr>
              <w:t xml:space="preserve">RUBRIIKIDE 1-4 </w:t>
            </w:r>
            <w:r>
              <w:rPr>
                <w:noProof/>
                <w:lang w:eastAsia="et-EE" w:bidi="et-EE"/>
              </w:rPr>
              <w:br/>
            </w:r>
            <w:r>
              <w:rPr>
                <w:b/>
                <w:noProof/>
                <w:lang w:eastAsia="et-EE" w:bidi="et-EE"/>
              </w:rPr>
              <w:t>assigneeringud KOKKU</w:t>
            </w:r>
            <w:r>
              <w:rPr>
                <w:noProof/>
                <w:sz w:val="22"/>
                <w:lang w:eastAsia="et-EE" w:bidi="et-EE"/>
              </w:rPr>
              <w:br/>
            </w:r>
            <w:r>
              <w:rPr>
                <w:noProof/>
                <w:sz w:val="20"/>
                <w:lang w:eastAsia="et-EE" w:bidi="et-EE"/>
              </w:rPr>
              <w:t>(võrdlussumma)</w:t>
            </w:r>
          </w:p>
        </w:tc>
        <w:tc>
          <w:tcPr>
            <w:tcW w:w="1440" w:type="dxa"/>
            <w:vAlign w:val="center"/>
          </w:tcPr>
          <w:p w:rsidR="001449F2" w:rsidRDefault="002324A9">
            <w:pPr>
              <w:rPr>
                <w:noProof/>
                <w:sz w:val="18"/>
                <w:lang w:eastAsia="et-EE" w:bidi="et-EE"/>
              </w:rPr>
            </w:pPr>
            <w:r>
              <w:rPr>
                <w:noProof/>
                <w:sz w:val="18"/>
                <w:lang w:eastAsia="et-EE" w:bidi="et-EE"/>
              </w:rPr>
              <w:t>Kulukohustused</w:t>
            </w:r>
          </w:p>
        </w:tc>
        <w:tc>
          <w:tcPr>
            <w:tcW w:w="654" w:type="dxa"/>
            <w:vAlign w:val="center"/>
          </w:tcPr>
          <w:p w:rsidR="001449F2" w:rsidRDefault="002324A9">
            <w:pPr>
              <w:jc w:val="center"/>
              <w:rPr>
                <w:noProof/>
                <w:sz w:val="14"/>
                <w:lang w:eastAsia="et-EE" w:bidi="et-EE"/>
              </w:rPr>
            </w:pPr>
            <w:r>
              <w:rPr>
                <w:noProof/>
                <w:sz w:val="14"/>
                <w:lang w:eastAsia="et-EE" w:bidi="et-EE"/>
              </w:rPr>
              <w:t>=4+ 6</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868" w:type="dxa"/>
            <w:vAlign w:val="center"/>
          </w:tcPr>
          <w:p w:rsidR="001449F2" w:rsidRDefault="002324A9">
            <w:pPr>
              <w:spacing w:before="20" w:after="20"/>
              <w:jc w:val="right"/>
              <w:rPr>
                <w:noProof/>
                <w:lang w:eastAsia="et-EE" w:bidi="et-EE"/>
              </w:rPr>
            </w:pPr>
            <w:r>
              <w:rPr>
                <w:noProof/>
                <w:lang w:eastAsia="et-EE" w:bidi="et-EE"/>
              </w:rPr>
              <w:t>p.m.</w:t>
            </w:r>
          </w:p>
        </w:tc>
        <w:tc>
          <w:tcPr>
            <w:tcW w:w="1777" w:type="dxa"/>
            <w:tcBorders>
              <w:right w:val="single" w:sz="4" w:space="0" w:color="auto"/>
            </w:tcBorders>
            <w:vAlign w:val="center"/>
          </w:tcPr>
          <w:p w:rsidR="001449F2" w:rsidRDefault="001449F2">
            <w:pPr>
              <w:spacing w:before="20" w:after="20"/>
              <w:jc w:val="right"/>
              <w:rPr>
                <w:b/>
                <w:noProof/>
                <w:sz w:val="20"/>
                <w:lang w:eastAsia="et-EE" w:bidi="et-EE"/>
              </w:rPr>
            </w:pPr>
          </w:p>
        </w:tc>
      </w:tr>
      <w:tr w:rsidR="001449F2">
        <w:tc>
          <w:tcPr>
            <w:tcW w:w="3960" w:type="dxa"/>
            <w:vMerge/>
            <w:tcBorders>
              <w:top w:val="single" w:sz="4" w:space="0" w:color="FF0000"/>
              <w:left w:val="single" w:sz="4" w:space="0" w:color="auto"/>
              <w:bottom w:val="single" w:sz="4" w:space="0" w:color="FF0000"/>
            </w:tcBorders>
            <w:shd w:val="thinDiagStripe" w:color="C0C0C0" w:fill="auto"/>
          </w:tcPr>
          <w:p w:rsidR="001449F2" w:rsidRDefault="001449F2">
            <w:pPr>
              <w:rPr>
                <w:noProof/>
                <w:sz w:val="20"/>
                <w:lang w:eastAsia="et-EE" w:bidi="et-EE"/>
              </w:rPr>
            </w:pPr>
          </w:p>
        </w:tc>
        <w:tc>
          <w:tcPr>
            <w:tcW w:w="1440" w:type="dxa"/>
            <w:tcBorders>
              <w:bottom w:val="single" w:sz="4" w:space="0" w:color="FF0000"/>
            </w:tcBorders>
            <w:vAlign w:val="center"/>
          </w:tcPr>
          <w:p w:rsidR="001449F2" w:rsidRDefault="002324A9">
            <w:pPr>
              <w:rPr>
                <w:noProof/>
                <w:sz w:val="18"/>
                <w:lang w:eastAsia="et-EE" w:bidi="et-EE"/>
              </w:rPr>
            </w:pPr>
            <w:r>
              <w:rPr>
                <w:noProof/>
                <w:sz w:val="18"/>
                <w:lang w:eastAsia="et-EE" w:bidi="et-EE"/>
              </w:rPr>
              <w:t>Maksed</w:t>
            </w:r>
          </w:p>
        </w:tc>
        <w:tc>
          <w:tcPr>
            <w:tcW w:w="654" w:type="dxa"/>
            <w:tcBorders>
              <w:bottom w:val="single" w:sz="4" w:space="0" w:color="FF0000"/>
            </w:tcBorders>
            <w:vAlign w:val="center"/>
          </w:tcPr>
          <w:p w:rsidR="001449F2" w:rsidRDefault="002324A9">
            <w:pPr>
              <w:jc w:val="center"/>
              <w:rPr>
                <w:noProof/>
                <w:sz w:val="14"/>
                <w:lang w:eastAsia="et-EE" w:bidi="et-EE"/>
              </w:rPr>
            </w:pPr>
            <w:r>
              <w:rPr>
                <w:noProof/>
                <w:sz w:val="14"/>
                <w:lang w:eastAsia="et-EE" w:bidi="et-EE"/>
              </w:rPr>
              <w:t>=5+ 6</w:t>
            </w:r>
          </w:p>
        </w:tc>
        <w:tc>
          <w:tcPr>
            <w:tcW w:w="868" w:type="dxa"/>
            <w:tcBorders>
              <w:bottom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bottom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bottom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bottom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bottom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bottom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868" w:type="dxa"/>
            <w:tcBorders>
              <w:bottom w:val="single" w:sz="4" w:space="0" w:color="FF0000"/>
            </w:tcBorders>
            <w:vAlign w:val="center"/>
          </w:tcPr>
          <w:p w:rsidR="001449F2" w:rsidRDefault="002324A9">
            <w:pPr>
              <w:spacing w:before="20" w:after="20"/>
              <w:jc w:val="right"/>
              <w:rPr>
                <w:noProof/>
                <w:lang w:eastAsia="et-EE" w:bidi="et-EE"/>
              </w:rPr>
            </w:pPr>
            <w:r>
              <w:rPr>
                <w:noProof/>
                <w:lang w:eastAsia="et-EE" w:bidi="et-EE"/>
              </w:rPr>
              <w:t>p.m.</w:t>
            </w:r>
          </w:p>
        </w:tc>
        <w:tc>
          <w:tcPr>
            <w:tcW w:w="1777" w:type="dxa"/>
            <w:tcBorders>
              <w:bottom w:val="single" w:sz="4" w:space="0" w:color="FF0000"/>
              <w:right w:val="single" w:sz="4" w:space="0" w:color="auto"/>
            </w:tcBorders>
            <w:vAlign w:val="center"/>
          </w:tcPr>
          <w:p w:rsidR="001449F2" w:rsidRDefault="001449F2">
            <w:pPr>
              <w:spacing w:before="20" w:after="20"/>
              <w:jc w:val="right"/>
              <w:rPr>
                <w:b/>
                <w:noProof/>
                <w:sz w:val="20"/>
                <w:lang w:eastAsia="et-EE" w:bidi="et-EE"/>
              </w:rPr>
            </w:pPr>
          </w:p>
        </w:tc>
      </w:tr>
    </w:tbl>
    <w:p w:rsidR="001449F2" w:rsidRDefault="002324A9">
      <w:pPr>
        <w:rPr>
          <w:noProof/>
          <w:lang w:eastAsia="et-EE" w:bidi="et-EE"/>
        </w:rPr>
      </w:pPr>
      <w:r>
        <w:rPr>
          <w:noProof/>
          <w:lang w:eastAsia="et-EE" w:bidi="et-E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449F2">
        <w:trPr>
          <w:jc w:val="center"/>
        </w:trPr>
        <w:tc>
          <w:tcPr>
            <w:tcW w:w="4744" w:type="dxa"/>
            <w:shd w:val="thinDiagStripe" w:color="C0C0C0" w:fill="auto"/>
            <w:vAlign w:val="center"/>
          </w:tcPr>
          <w:p w:rsidR="001449F2" w:rsidRDefault="002324A9">
            <w:pPr>
              <w:spacing w:before="60" w:after="60"/>
              <w:jc w:val="center"/>
              <w:rPr>
                <w:b/>
                <w:noProof/>
                <w:lang w:eastAsia="et-EE" w:bidi="et-EE"/>
              </w:rPr>
            </w:pPr>
            <w:r>
              <w:rPr>
                <w:noProof/>
                <w:lang w:eastAsia="et-EE" w:bidi="et-EE"/>
              </w:rPr>
              <w:br w:type="page"/>
            </w:r>
            <w:r>
              <w:rPr>
                <w:b/>
                <w:noProof/>
                <w:lang w:eastAsia="et-EE" w:bidi="et-EE"/>
              </w:rPr>
              <w:t>Mitmeaastase finantsraamistiku</w:t>
            </w:r>
            <w:r>
              <w:rPr>
                <w:noProof/>
                <w:sz w:val="22"/>
                <w:lang w:eastAsia="et-EE" w:bidi="et-EE"/>
              </w:rPr>
              <w:br/>
            </w:r>
            <w:r>
              <w:rPr>
                <w:b/>
                <w:noProof/>
                <w:sz w:val="22"/>
                <w:lang w:eastAsia="et-EE" w:bidi="et-EE"/>
              </w:rPr>
              <w:t xml:space="preserve">rubriik </w:t>
            </w:r>
          </w:p>
        </w:tc>
        <w:tc>
          <w:tcPr>
            <w:tcW w:w="1080" w:type="dxa"/>
            <w:shd w:val="thinDiagStripe" w:color="C0C0C0" w:fill="auto"/>
            <w:vAlign w:val="center"/>
          </w:tcPr>
          <w:p w:rsidR="001449F2" w:rsidRDefault="002324A9">
            <w:pPr>
              <w:spacing w:before="60" w:after="60"/>
              <w:jc w:val="center"/>
              <w:rPr>
                <w:noProof/>
                <w:lang w:eastAsia="et-EE" w:bidi="et-EE"/>
              </w:rPr>
            </w:pPr>
            <w:r>
              <w:rPr>
                <w:b/>
                <w:noProof/>
                <w:sz w:val="22"/>
                <w:lang w:eastAsia="et-EE" w:bidi="et-EE"/>
              </w:rPr>
              <w:t>5</w:t>
            </w:r>
          </w:p>
        </w:tc>
        <w:tc>
          <w:tcPr>
            <w:tcW w:w="7817" w:type="dxa"/>
            <w:vAlign w:val="center"/>
          </w:tcPr>
          <w:p w:rsidR="001449F2" w:rsidRDefault="002324A9">
            <w:pPr>
              <w:spacing w:before="60" w:after="60"/>
              <w:rPr>
                <w:noProof/>
                <w:lang w:eastAsia="et-EE" w:bidi="et-EE"/>
              </w:rPr>
            </w:pPr>
            <w:r>
              <w:rPr>
                <w:noProof/>
                <w:sz w:val="22"/>
                <w:lang w:eastAsia="et-EE" w:bidi="et-EE"/>
              </w:rPr>
              <w:t>„Halduskulud”</w:t>
            </w:r>
          </w:p>
        </w:tc>
      </w:tr>
    </w:tbl>
    <w:p w:rsidR="001449F2" w:rsidRDefault="002324A9">
      <w:pPr>
        <w:jc w:val="right"/>
        <w:rPr>
          <w:noProof/>
          <w:sz w:val="20"/>
          <w:lang w:eastAsia="et-EE" w:bidi="et-EE"/>
        </w:rPr>
      </w:pPr>
      <w:r>
        <w:rPr>
          <w:noProof/>
          <w:sz w:val="20"/>
          <w:lang w:eastAsia="et-EE" w:bidi="et-EE"/>
        </w:rPr>
        <w:t>miljonites eurodes (kolm kohta pärast koma)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449F2">
        <w:tc>
          <w:tcPr>
            <w:tcW w:w="3960" w:type="dxa"/>
            <w:tcBorders>
              <w:top w:val="nil"/>
              <w:left w:val="nil"/>
              <w:right w:val="nil"/>
            </w:tcBorders>
            <w:vAlign w:val="center"/>
          </w:tcPr>
          <w:p w:rsidR="001449F2" w:rsidRDefault="001449F2">
            <w:pPr>
              <w:jc w:val="center"/>
              <w:rPr>
                <w:noProof/>
                <w:lang w:eastAsia="et-EE" w:bidi="et-EE"/>
              </w:rPr>
            </w:pPr>
          </w:p>
        </w:tc>
        <w:tc>
          <w:tcPr>
            <w:tcW w:w="1560" w:type="dxa"/>
            <w:tcBorders>
              <w:top w:val="nil"/>
              <w:left w:val="nil"/>
              <w:right w:val="nil"/>
            </w:tcBorders>
          </w:tcPr>
          <w:p w:rsidR="001449F2" w:rsidRDefault="001449F2">
            <w:pPr>
              <w:rPr>
                <w:noProof/>
                <w:sz w:val="20"/>
                <w:lang w:eastAsia="et-EE" w:bidi="et-EE"/>
              </w:rPr>
            </w:pPr>
          </w:p>
        </w:tc>
        <w:tc>
          <w:tcPr>
            <w:tcW w:w="534" w:type="dxa"/>
            <w:tcBorders>
              <w:top w:val="nil"/>
              <w:left w:val="nil"/>
            </w:tcBorders>
          </w:tcPr>
          <w:p w:rsidR="001449F2" w:rsidRDefault="001449F2">
            <w:pPr>
              <w:jc w:val="center"/>
              <w:rPr>
                <w:noProof/>
                <w:sz w:val="20"/>
                <w:lang w:eastAsia="et-EE" w:bidi="et-EE"/>
              </w:rPr>
            </w:pP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2016</w:t>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2017</w:t>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2018</w:t>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2019</w:t>
            </w:r>
          </w:p>
        </w:tc>
        <w:tc>
          <w:tcPr>
            <w:tcW w:w="2604" w:type="dxa"/>
            <w:gridSpan w:val="3"/>
            <w:vAlign w:val="center"/>
          </w:tcPr>
          <w:p w:rsidR="001449F2" w:rsidRDefault="002324A9">
            <w:pPr>
              <w:jc w:val="center"/>
              <w:rPr>
                <w:b/>
                <w:noProof/>
                <w:sz w:val="18"/>
                <w:lang w:eastAsia="et-EE" w:bidi="et-EE"/>
              </w:rPr>
            </w:pPr>
            <w:r>
              <w:rPr>
                <w:noProof/>
                <w:sz w:val="20"/>
                <w:lang w:eastAsia="et-EE" w:bidi="et-EE"/>
              </w:rPr>
              <w:t xml:space="preserve">Aasta </w:t>
            </w:r>
            <w:r>
              <w:rPr>
                <w:b/>
                <w:noProof/>
                <w:sz w:val="20"/>
                <w:lang w:eastAsia="et-EE" w:bidi="et-EE"/>
              </w:rPr>
              <w:t>2020</w:t>
            </w:r>
          </w:p>
        </w:tc>
        <w:tc>
          <w:tcPr>
            <w:tcW w:w="1777" w:type="dxa"/>
            <w:vAlign w:val="center"/>
          </w:tcPr>
          <w:p w:rsidR="001449F2" w:rsidRDefault="002324A9">
            <w:pPr>
              <w:jc w:val="center"/>
              <w:rPr>
                <w:b/>
                <w:noProof/>
                <w:sz w:val="20"/>
                <w:lang w:eastAsia="et-EE" w:bidi="et-EE"/>
              </w:rPr>
            </w:pPr>
            <w:r>
              <w:rPr>
                <w:b/>
                <w:noProof/>
                <w:sz w:val="20"/>
                <w:lang w:eastAsia="et-EE" w:bidi="et-EE"/>
              </w:rPr>
              <w:t>KOKKU</w:t>
            </w:r>
          </w:p>
        </w:tc>
      </w:tr>
      <w:tr w:rsidR="001449F2">
        <w:trPr>
          <w:gridAfter w:val="10"/>
          <w:wAfter w:w="9947" w:type="dxa"/>
        </w:trPr>
        <w:tc>
          <w:tcPr>
            <w:tcW w:w="3960" w:type="dxa"/>
            <w:vAlign w:val="center"/>
          </w:tcPr>
          <w:p w:rsidR="001449F2" w:rsidRDefault="002324A9">
            <w:pPr>
              <w:spacing w:before="60" w:after="60"/>
              <w:jc w:val="center"/>
              <w:rPr>
                <w:noProof/>
                <w:lang w:eastAsia="et-EE" w:bidi="et-EE"/>
              </w:rPr>
            </w:pPr>
            <w:r>
              <w:rPr>
                <w:noProof/>
                <w:sz w:val="22"/>
                <w:lang w:eastAsia="et-EE" w:bidi="et-EE"/>
              </w:rPr>
              <w:t xml:space="preserve">Maksunduse ja tolliliidu peadirektoraat </w:t>
            </w:r>
          </w:p>
        </w:tc>
      </w:tr>
      <w:tr w:rsidR="001449F2">
        <w:trPr>
          <w:trHeight w:val="313"/>
        </w:trPr>
        <w:tc>
          <w:tcPr>
            <w:tcW w:w="6054" w:type="dxa"/>
            <w:gridSpan w:val="3"/>
            <w:vAlign w:val="center"/>
          </w:tcPr>
          <w:p w:rsidR="001449F2" w:rsidRDefault="002324A9">
            <w:pPr>
              <w:spacing w:before="20" w:after="20"/>
              <w:rPr>
                <w:noProof/>
                <w:lang w:eastAsia="et-EE" w:bidi="et-EE"/>
              </w:rPr>
            </w:pPr>
            <w:r>
              <w:rPr>
                <w:noProof/>
                <w:sz w:val="22"/>
                <w:lang w:eastAsia="et-EE" w:bidi="et-EE"/>
              </w:rPr>
              <w:sym w:font="Wingdings" w:char="F09F"/>
            </w:r>
            <w:r>
              <w:rPr>
                <w:noProof/>
                <w:lang w:eastAsia="et-EE" w:bidi="et-EE"/>
              </w:rPr>
              <w:t xml:space="preserve"> Personalikulud</w:t>
            </w:r>
          </w:p>
        </w:tc>
        <w:tc>
          <w:tcPr>
            <w:tcW w:w="868" w:type="dxa"/>
            <w:vAlign w:val="center"/>
          </w:tcPr>
          <w:p w:rsidR="001449F2" w:rsidRDefault="002324A9">
            <w:pPr>
              <w:spacing w:before="20" w:after="20"/>
              <w:jc w:val="right"/>
              <w:rPr>
                <w:noProof/>
                <w:lang w:eastAsia="et-EE" w:bidi="et-EE"/>
              </w:rPr>
            </w:pPr>
            <w:r>
              <w:rPr>
                <w:noProof/>
                <w:lang w:eastAsia="et-EE" w:bidi="et-EE"/>
              </w:rPr>
              <w:t>0,528</w:t>
            </w:r>
          </w:p>
        </w:tc>
        <w:tc>
          <w:tcPr>
            <w:tcW w:w="868" w:type="dxa"/>
            <w:vAlign w:val="center"/>
          </w:tcPr>
          <w:p w:rsidR="001449F2" w:rsidRDefault="002324A9">
            <w:pPr>
              <w:spacing w:before="20" w:after="20"/>
              <w:jc w:val="right"/>
              <w:rPr>
                <w:noProof/>
                <w:lang w:eastAsia="et-EE" w:bidi="et-EE"/>
              </w:rPr>
            </w:pPr>
            <w:r>
              <w:rPr>
                <w:noProof/>
                <w:lang w:eastAsia="et-EE" w:bidi="et-EE"/>
              </w:rPr>
              <w:t>0,528</w:t>
            </w:r>
          </w:p>
        </w:tc>
        <w:tc>
          <w:tcPr>
            <w:tcW w:w="868" w:type="dxa"/>
            <w:vAlign w:val="center"/>
          </w:tcPr>
          <w:p w:rsidR="001449F2" w:rsidRDefault="002324A9">
            <w:pPr>
              <w:spacing w:before="20" w:after="20"/>
              <w:jc w:val="right"/>
              <w:rPr>
                <w:noProof/>
                <w:lang w:eastAsia="et-EE" w:bidi="et-EE"/>
              </w:rPr>
            </w:pPr>
            <w:r>
              <w:rPr>
                <w:noProof/>
                <w:lang w:eastAsia="et-EE" w:bidi="et-EE"/>
              </w:rPr>
              <w:t>0,528</w:t>
            </w:r>
          </w:p>
        </w:tc>
        <w:tc>
          <w:tcPr>
            <w:tcW w:w="868" w:type="dxa"/>
            <w:vAlign w:val="center"/>
          </w:tcPr>
          <w:p w:rsidR="001449F2" w:rsidRDefault="002324A9">
            <w:pPr>
              <w:spacing w:before="20" w:after="20"/>
              <w:jc w:val="right"/>
              <w:rPr>
                <w:noProof/>
                <w:lang w:eastAsia="et-EE" w:bidi="et-EE"/>
              </w:rPr>
            </w:pPr>
            <w:r>
              <w:rPr>
                <w:noProof/>
                <w:lang w:eastAsia="et-EE" w:bidi="et-EE"/>
              </w:rPr>
              <w:t>0,528</w:t>
            </w:r>
          </w:p>
        </w:tc>
        <w:tc>
          <w:tcPr>
            <w:tcW w:w="868" w:type="dxa"/>
            <w:vAlign w:val="center"/>
          </w:tcPr>
          <w:p w:rsidR="001449F2" w:rsidRDefault="002324A9">
            <w:pPr>
              <w:spacing w:before="20" w:after="20"/>
              <w:jc w:val="right"/>
              <w:rPr>
                <w:noProof/>
                <w:lang w:eastAsia="et-EE" w:bidi="et-EE"/>
              </w:rPr>
            </w:pPr>
            <w:r>
              <w:rPr>
                <w:noProof/>
                <w:lang w:eastAsia="et-EE" w:bidi="et-EE"/>
              </w:rPr>
              <w:t>0,528</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2,640</w:t>
            </w:r>
          </w:p>
        </w:tc>
      </w:tr>
      <w:tr w:rsidR="001449F2">
        <w:trPr>
          <w:trHeight w:val="351"/>
        </w:trPr>
        <w:tc>
          <w:tcPr>
            <w:tcW w:w="6054" w:type="dxa"/>
            <w:gridSpan w:val="3"/>
            <w:vAlign w:val="center"/>
          </w:tcPr>
          <w:p w:rsidR="001449F2" w:rsidRDefault="002324A9">
            <w:pPr>
              <w:spacing w:before="20" w:after="20"/>
              <w:rPr>
                <w:noProof/>
                <w:lang w:eastAsia="et-EE" w:bidi="et-EE"/>
              </w:rPr>
            </w:pPr>
            <w:r>
              <w:rPr>
                <w:noProof/>
                <w:sz w:val="22"/>
                <w:lang w:eastAsia="et-EE" w:bidi="et-EE"/>
              </w:rPr>
              <w:sym w:font="Wingdings" w:char="F09F"/>
            </w:r>
            <w:r>
              <w:rPr>
                <w:noProof/>
                <w:lang w:eastAsia="et-EE" w:bidi="et-EE"/>
              </w:rPr>
              <w:t xml:space="preserve"> Muud halduskulud</w:t>
            </w:r>
          </w:p>
        </w:tc>
        <w:tc>
          <w:tcPr>
            <w:tcW w:w="868" w:type="dxa"/>
            <w:vAlign w:val="center"/>
          </w:tcPr>
          <w:p w:rsidR="001449F2" w:rsidRDefault="002324A9">
            <w:pPr>
              <w:spacing w:before="20" w:after="20"/>
              <w:jc w:val="right"/>
              <w:rPr>
                <w:noProof/>
                <w:lang w:eastAsia="et-EE" w:bidi="et-EE"/>
              </w:rPr>
            </w:pPr>
            <w:r>
              <w:rPr>
                <w:noProof/>
                <w:lang w:eastAsia="et-EE" w:bidi="et-EE"/>
              </w:rPr>
              <w:t>0,030</w:t>
            </w:r>
          </w:p>
        </w:tc>
        <w:tc>
          <w:tcPr>
            <w:tcW w:w="868" w:type="dxa"/>
            <w:vAlign w:val="center"/>
          </w:tcPr>
          <w:p w:rsidR="001449F2" w:rsidRDefault="002324A9">
            <w:pPr>
              <w:spacing w:before="20" w:after="20"/>
              <w:jc w:val="right"/>
              <w:rPr>
                <w:noProof/>
                <w:lang w:eastAsia="et-EE" w:bidi="et-EE"/>
              </w:rPr>
            </w:pPr>
            <w:r>
              <w:rPr>
                <w:noProof/>
                <w:lang w:eastAsia="et-EE" w:bidi="et-EE"/>
              </w:rPr>
              <w:t>0,030</w:t>
            </w:r>
          </w:p>
        </w:tc>
        <w:tc>
          <w:tcPr>
            <w:tcW w:w="868" w:type="dxa"/>
            <w:vAlign w:val="center"/>
          </w:tcPr>
          <w:p w:rsidR="001449F2" w:rsidRDefault="002324A9">
            <w:pPr>
              <w:spacing w:before="20" w:after="20"/>
              <w:jc w:val="right"/>
              <w:rPr>
                <w:noProof/>
                <w:lang w:eastAsia="et-EE" w:bidi="et-EE"/>
              </w:rPr>
            </w:pPr>
            <w:r>
              <w:rPr>
                <w:noProof/>
                <w:lang w:eastAsia="et-EE" w:bidi="et-EE"/>
              </w:rPr>
              <w:t>0,030</w:t>
            </w:r>
          </w:p>
        </w:tc>
        <w:tc>
          <w:tcPr>
            <w:tcW w:w="868" w:type="dxa"/>
            <w:vAlign w:val="center"/>
          </w:tcPr>
          <w:p w:rsidR="001449F2" w:rsidRDefault="002324A9">
            <w:pPr>
              <w:spacing w:before="20" w:after="20"/>
              <w:jc w:val="right"/>
              <w:rPr>
                <w:noProof/>
                <w:lang w:eastAsia="et-EE" w:bidi="et-EE"/>
              </w:rPr>
            </w:pPr>
            <w:r>
              <w:rPr>
                <w:noProof/>
                <w:lang w:eastAsia="et-EE" w:bidi="et-EE"/>
              </w:rPr>
              <w:t>0,030</w:t>
            </w:r>
          </w:p>
        </w:tc>
        <w:tc>
          <w:tcPr>
            <w:tcW w:w="868" w:type="dxa"/>
            <w:vAlign w:val="center"/>
          </w:tcPr>
          <w:p w:rsidR="001449F2" w:rsidRDefault="002324A9">
            <w:pPr>
              <w:spacing w:before="20" w:after="20"/>
              <w:jc w:val="right"/>
              <w:rPr>
                <w:noProof/>
                <w:lang w:eastAsia="et-EE" w:bidi="et-EE"/>
              </w:rPr>
            </w:pPr>
            <w:r>
              <w:rPr>
                <w:noProof/>
                <w:lang w:eastAsia="et-EE" w:bidi="et-EE"/>
              </w:rPr>
              <w:t>0,030</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0,150</w:t>
            </w:r>
          </w:p>
        </w:tc>
      </w:tr>
      <w:tr w:rsidR="001449F2">
        <w:tc>
          <w:tcPr>
            <w:tcW w:w="3960" w:type="dxa"/>
            <w:vAlign w:val="center"/>
          </w:tcPr>
          <w:p w:rsidR="001449F2" w:rsidRDefault="002324A9">
            <w:pPr>
              <w:jc w:val="center"/>
              <w:rPr>
                <w:b/>
                <w:noProof/>
                <w:lang w:eastAsia="et-EE" w:bidi="et-EE"/>
              </w:rPr>
            </w:pPr>
            <w:r>
              <w:rPr>
                <w:noProof/>
                <w:lang w:eastAsia="et-EE" w:bidi="et-EE"/>
              </w:rPr>
              <w:t>Maksunduse ja tolliliidu peadirektoraat</w:t>
            </w:r>
            <w:r>
              <w:rPr>
                <w:b/>
                <w:noProof/>
                <w:lang w:eastAsia="et-EE" w:bidi="et-EE"/>
              </w:rPr>
              <w:t xml:space="preserve"> KOKKU</w:t>
            </w:r>
          </w:p>
        </w:tc>
        <w:tc>
          <w:tcPr>
            <w:tcW w:w="2094" w:type="dxa"/>
            <w:gridSpan w:val="2"/>
            <w:vAlign w:val="center"/>
          </w:tcPr>
          <w:p w:rsidR="001449F2" w:rsidRDefault="002324A9">
            <w:pPr>
              <w:rPr>
                <w:noProof/>
                <w:sz w:val="14"/>
                <w:lang w:eastAsia="et-EE" w:bidi="et-EE"/>
              </w:rPr>
            </w:pPr>
            <w:r>
              <w:rPr>
                <w:noProof/>
                <w:sz w:val="18"/>
                <w:lang w:eastAsia="et-EE" w:bidi="et-EE"/>
              </w:rPr>
              <w:t xml:space="preserve">Assigneeringud </w:t>
            </w:r>
          </w:p>
        </w:tc>
        <w:tc>
          <w:tcPr>
            <w:tcW w:w="868" w:type="dxa"/>
            <w:vAlign w:val="center"/>
          </w:tcPr>
          <w:p w:rsidR="001449F2" w:rsidRDefault="002324A9">
            <w:pPr>
              <w:spacing w:before="20" w:after="20"/>
              <w:jc w:val="right"/>
              <w:rPr>
                <w:noProof/>
                <w:lang w:eastAsia="et-EE" w:bidi="et-EE"/>
              </w:rPr>
            </w:pPr>
            <w:r>
              <w:rPr>
                <w:noProof/>
                <w:lang w:eastAsia="et-EE" w:bidi="et-EE"/>
              </w:rPr>
              <w:t>0,558</w:t>
            </w:r>
          </w:p>
        </w:tc>
        <w:tc>
          <w:tcPr>
            <w:tcW w:w="868" w:type="dxa"/>
            <w:vAlign w:val="center"/>
          </w:tcPr>
          <w:p w:rsidR="001449F2" w:rsidRDefault="002324A9">
            <w:pPr>
              <w:spacing w:before="20" w:after="20"/>
              <w:jc w:val="right"/>
              <w:rPr>
                <w:noProof/>
                <w:lang w:eastAsia="et-EE" w:bidi="et-EE"/>
              </w:rPr>
            </w:pPr>
            <w:r>
              <w:rPr>
                <w:noProof/>
                <w:lang w:eastAsia="et-EE" w:bidi="et-EE"/>
              </w:rPr>
              <w:t>0,558</w:t>
            </w:r>
          </w:p>
        </w:tc>
        <w:tc>
          <w:tcPr>
            <w:tcW w:w="868" w:type="dxa"/>
            <w:vAlign w:val="center"/>
          </w:tcPr>
          <w:p w:rsidR="001449F2" w:rsidRDefault="002324A9">
            <w:pPr>
              <w:spacing w:before="20" w:after="20"/>
              <w:jc w:val="right"/>
              <w:rPr>
                <w:noProof/>
                <w:lang w:eastAsia="et-EE" w:bidi="et-EE"/>
              </w:rPr>
            </w:pPr>
            <w:r>
              <w:rPr>
                <w:noProof/>
                <w:lang w:eastAsia="et-EE" w:bidi="et-EE"/>
              </w:rPr>
              <w:t>0,558</w:t>
            </w:r>
          </w:p>
        </w:tc>
        <w:tc>
          <w:tcPr>
            <w:tcW w:w="868" w:type="dxa"/>
            <w:vAlign w:val="center"/>
          </w:tcPr>
          <w:p w:rsidR="001449F2" w:rsidRDefault="002324A9">
            <w:pPr>
              <w:spacing w:before="20" w:after="20"/>
              <w:jc w:val="right"/>
              <w:rPr>
                <w:noProof/>
                <w:lang w:eastAsia="et-EE" w:bidi="et-EE"/>
              </w:rPr>
            </w:pPr>
            <w:r>
              <w:rPr>
                <w:noProof/>
                <w:lang w:eastAsia="et-EE" w:bidi="et-EE"/>
              </w:rPr>
              <w:t>0,558</w:t>
            </w:r>
          </w:p>
        </w:tc>
        <w:tc>
          <w:tcPr>
            <w:tcW w:w="868" w:type="dxa"/>
            <w:vAlign w:val="center"/>
          </w:tcPr>
          <w:p w:rsidR="001449F2" w:rsidRDefault="002324A9">
            <w:pPr>
              <w:spacing w:before="20" w:after="20"/>
              <w:jc w:val="right"/>
              <w:rPr>
                <w:noProof/>
                <w:lang w:eastAsia="et-EE" w:bidi="et-EE"/>
              </w:rPr>
            </w:pPr>
            <w:r>
              <w:rPr>
                <w:noProof/>
                <w:lang w:eastAsia="et-EE" w:bidi="et-EE"/>
              </w:rPr>
              <w:t>0,558</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1449F2">
            <w:pPr>
              <w:spacing w:before="20" w:after="20"/>
              <w:jc w:val="right"/>
              <w:rPr>
                <w:noProof/>
                <w:lang w:eastAsia="et-EE" w:bidi="et-EE"/>
              </w:rPr>
            </w:pPr>
          </w:p>
        </w:tc>
      </w:tr>
    </w:tbl>
    <w:p w:rsidR="001449F2" w:rsidRDefault="001449F2">
      <w:pPr>
        <w:rPr>
          <w:noProof/>
          <w:lang w:eastAsia="et-EE" w:bidi="et-E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449F2">
        <w:tc>
          <w:tcPr>
            <w:tcW w:w="3960" w:type="dxa"/>
            <w:shd w:val="thinDiagStripe" w:color="C0C0C0" w:fill="auto"/>
            <w:vAlign w:val="center"/>
          </w:tcPr>
          <w:p w:rsidR="001449F2" w:rsidRDefault="002324A9">
            <w:pPr>
              <w:jc w:val="center"/>
              <w:rPr>
                <w:b/>
                <w:noProof/>
                <w:lang w:eastAsia="et-EE" w:bidi="et-EE"/>
              </w:rPr>
            </w:pPr>
            <w:r>
              <w:rPr>
                <w:noProof/>
                <w:lang w:eastAsia="et-EE" w:bidi="et-EE"/>
              </w:rPr>
              <w:t>Mitmeaastase finantsraamistiku</w:t>
            </w:r>
            <w:r>
              <w:rPr>
                <w:noProof/>
                <w:lang w:eastAsia="et-EE" w:bidi="et-EE"/>
              </w:rPr>
              <w:br/>
            </w:r>
            <w:r>
              <w:rPr>
                <w:b/>
                <w:noProof/>
                <w:lang w:eastAsia="et-EE" w:bidi="et-EE"/>
              </w:rPr>
              <w:t>RUBRIIGI 5</w:t>
            </w:r>
            <w:r>
              <w:rPr>
                <w:noProof/>
                <w:lang w:eastAsia="et-EE" w:bidi="et-EE"/>
              </w:rPr>
              <w:br/>
            </w:r>
            <w:r>
              <w:rPr>
                <w:b/>
                <w:noProof/>
                <w:lang w:eastAsia="et-EE" w:bidi="et-EE"/>
              </w:rPr>
              <w:t>assigneeringud KOKKU</w:t>
            </w:r>
            <w:r>
              <w:rPr>
                <w:b/>
                <w:noProof/>
                <w:sz w:val="22"/>
                <w:lang w:eastAsia="et-EE" w:bidi="et-EE"/>
              </w:rPr>
              <w:t xml:space="preserve"> </w:t>
            </w:r>
          </w:p>
        </w:tc>
        <w:tc>
          <w:tcPr>
            <w:tcW w:w="2094" w:type="dxa"/>
            <w:vAlign w:val="center"/>
          </w:tcPr>
          <w:p w:rsidR="001449F2" w:rsidRDefault="002324A9">
            <w:pPr>
              <w:spacing w:before="40" w:after="40"/>
              <w:rPr>
                <w:noProof/>
                <w:lang w:eastAsia="et-EE" w:bidi="et-EE"/>
              </w:rPr>
            </w:pPr>
            <w:r>
              <w:rPr>
                <w:noProof/>
                <w:sz w:val="18"/>
                <w:lang w:eastAsia="et-EE" w:bidi="et-EE"/>
              </w:rPr>
              <w:t>(Kulukohustuste kogusumma = maksete kogusumma)</w:t>
            </w:r>
          </w:p>
        </w:tc>
        <w:tc>
          <w:tcPr>
            <w:tcW w:w="868" w:type="dxa"/>
            <w:vAlign w:val="center"/>
          </w:tcPr>
          <w:p w:rsidR="001449F2" w:rsidRDefault="002324A9">
            <w:pPr>
              <w:spacing w:before="20" w:after="20"/>
              <w:jc w:val="right"/>
              <w:rPr>
                <w:noProof/>
                <w:sz w:val="20"/>
                <w:lang w:eastAsia="et-EE" w:bidi="et-EE"/>
              </w:rPr>
            </w:pPr>
            <w:r>
              <w:rPr>
                <w:noProof/>
                <w:lang w:eastAsia="et-EE" w:bidi="et-EE"/>
              </w:rPr>
              <w:t>0,558</w:t>
            </w:r>
          </w:p>
        </w:tc>
        <w:tc>
          <w:tcPr>
            <w:tcW w:w="868" w:type="dxa"/>
            <w:vAlign w:val="center"/>
          </w:tcPr>
          <w:p w:rsidR="001449F2" w:rsidRDefault="002324A9">
            <w:pPr>
              <w:spacing w:before="20" w:after="20"/>
              <w:jc w:val="right"/>
              <w:rPr>
                <w:noProof/>
                <w:sz w:val="20"/>
                <w:lang w:eastAsia="et-EE" w:bidi="et-EE"/>
              </w:rPr>
            </w:pPr>
            <w:r>
              <w:rPr>
                <w:noProof/>
                <w:lang w:eastAsia="et-EE" w:bidi="et-EE"/>
              </w:rPr>
              <w:t>0,558</w:t>
            </w:r>
          </w:p>
        </w:tc>
        <w:tc>
          <w:tcPr>
            <w:tcW w:w="868" w:type="dxa"/>
            <w:vAlign w:val="center"/>
          </w:tcPr>
          <w:p w:rsidR="001449F2" w:rsidRDefault="002324A9">
            <w:pPr>
              <w:spacing w:before="20" w:after="20"/>
              <w:jc w:val="right"/>
              <w:rPr>
                <w:noProof/>
                <w:sz w:val="20"/>
                <w:lang w:eastAsia="et-EE" w:bidi="et-EE"/>
              </w:rPr>
            </w:pPr>
            <w:r>
              <w:rPr>
                <w:noProof/>
                <w:lang w:eastAsia="et-EE" w:bidi="et-EE"/>
              </w:rPr>
              <w:t>0,558</w:t>
            </w:r>
          </w:p>
        </w:tc>
        <w:tc>
          <w:tcPr>
            <w:tcW w:w="868" w:type="dxa"/>
            <w:vAlign w:val="center"/>
          </w:tcPr>
          <w:p w:rsidR="001449F2" w:rsidRDefault="002324A9">
            <w:pPr>
              <w:spacing w:before="20" w:after="20"/>
              <w:jc w:val="right"/>
              <w:rPr>
                <w:noProof/>
                <w:sz w:val="20"/>
                <w:lang w:eastAsia="et-EE" w:bidi="et-EE"/>
              </w:rPr>
            </w:pPr>
            <w:r>
              <w:rPr>
                <w:noProof/>
                <w:lang w:eastAsia="et-EE" w:bidi="et-EE"/>
              </w:rPr>
              <w:t>0,558</w:t>
            </w:r>
          </w:p>
        </w:tc>
        <w:tc>
          <w:tcPr>
            <w:tcW w:w="868" w:type="dxa"/>
            <w:vAlign w:val="center"/>
          </w:tcPr>
          <w:p w:rsidR="001449F2" w:rsidRDefault="002324A9">
            <w:pPr>
              <w:spacing w:before="20" w:after="20"/>
              <w:jc w:val="right"/>
              <w:rPr>
                <w:noProof/>
                <w:sz w:val="20"/>
                <w:lang w:eastAsia="et-EE" w:bidi="et-EE"/>
              </w:rPr>
            </w:pPr>
            <w:r>
              <w:rPr>
                <w:noProof/>
                <w:lang w:eastAsia="et-EE" w:bidi="et-EE"/>
              </w:rPr>
              <w:t>0,558</w:t>
            </w:r>
          </w:p>
        </w:tc>
        <w:tc>
          <w:tcPr>
            <w:tcW w:w="868" w:type="dxa"/>
            <w:vAlign w:val="center"/>
          </w:tcPr>
          <w:p w:rsidR="001449F2" w:rsidRDefault="001449F2">
            <w:pPr>
              <w:spacing w:before="20" w:after="20"/>
              <w:jc w:val="right"/>
              <w:rPr>
                <w:noProof/>
                <w:sz w:val="20"/>
                <w:lang w:eastAsia="et-EE" w:bidi="et-EE"/>
              </w:rPr>
            </w:pPr>
          </w:p>
        </w:tc>
        <w:tc>
          <w:tcPr>
            <w:tcW w:w="868" w:type="dxa"/>
            <w:vAlign w:val="center"/>
          </w:tcPr>
          <w:p w:rsidR="001449F2" w:rsidRDefault="001449F2">
            <w:pPr>
              <w:spacing w:before="20" w:after="20"/>
              <w:jc w:val="right"/>
              <w:rPr>
                <w:b/>
                <w:noProof/>
                <w:sz w:val="20"/>
                <w:lang w:eastAsia="et-EE" w:bidi="et-EE"/>
              </w:rPr>
            </w:pPr>
          </w:p>
        </w:tc>
        <w:tc>
          <w:tcPr>
            <w:tcW w:w="1777" w:type="dxa"/>
            <w:vAlign w:val="center"/>
          </w:tcPr>
          <w:p w:rsidR="001449F2" w:rsidRDefault="002324A9">
            <w:pPr>
              <w:spacing w:before="20" w:after="20"/>
              <w:jc w:val="right"/>
              <w:rPr>
                <w:b/>
                <w:noProof/>
                <w:sz w:val="20"/>
                <w:lang w:eastAsia="et-EE" w:bidi="et-EE"/>
              </w:rPr>
            </w:pPr>
            <w:r>
              <w:rPr>
                <w:b/>
                <w:noProof/>
                <w:sz w:val="20"/>
                <w:lang w:eastAsia="et-EE" w:bidi="et-EE"/>
              </w:rPr>
              <w:t>2,790</w:t>
            </w:r>
          </w:p>
        </w:tc>
      </w:tr>
    </w:tbl>
    <w:p w:rsidR="001449F2" w:rsidRDefault="002324A9">
      <w:pPr>
        <w:spacing w:after="0"/>
        <w:jc w:val="right"/>
        <w:rPr>
          <w:noProof/>
          <w:sz w:val="20"/>
          <w:lang w:eastAsia="et-EE" w:bidi="et-EE"/>
        </w:rPr>
      </w:pPr>
      <w:r>
        <w:rPr>
          <w:noProof/>
          <w:sz w:val="20"/>
          <w:lang w:eastAsia="et-EE" w:bidi="et-EE"/>
        </w:rPr>
        <w:t>miljonites eurodes (kolm kohta pärast koma)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449F2">
        <w:tc>
          <w:tcPr>
            <w:tcW w:w="3960" w:type="dxa"/>
            <w:tcBorders>
              <w:top w:val="nil"/>
              <w:left w:val="nil"/>
              <w:right w:val="nil"/>
            </w:tcBorders>
            <w:vAlign w:val="center"/>
          </w:tcPr>
          <w:p w:rsidR="001449F2" w:rsidRDefault="001449F2">
            <w:pPr>
              <w:jc w:val="center"/>
              <w:rPr>
                <w:noProof/>
                <w:lang w:eastAsia="et-EE" w:bidi="et-EE"/>
              </w:rPr>
            </w:pPr>
          </w:p>
        </w:tc>
        <w:tc>
          <w:tcPr>
            <w:tcW w:w="1560" w:type="dxa"/>
            <w:tcBorders>
              <w:top w:val="nil"/>
              <w:left w:val="nil"/>
              <w:right w:val="nil"/>
            </w:tcBorders>
          </w:tcPr>
          <w:p w:rsidR="001449F2" w:rsidRDefault="001449F2">
            <w:pPr>
              <w:rPr>
                <w:noProof/>
                <w:sz w:val="20"/>
                <w:lang w:eastAsia="et-EE" w:bidi="et-EE"/>
              </w:rPr>
            </w:pPr>
          </w:p>
        </w:tc>
        <w:tc>
          <w:tcPr>
            <w:tcW w:w="534" w:type="dxa"/>
            <w:tcBorders>
              <w:top w:val="nil"/>
              <w:left w:val="nil"/>
            </w:tcBorders>
          </w:tcPr>
          <w:p w:rsidR="001449F2" w:rsidRDefault="001449F2">
            <w:pPr>
              <w:jc w:val="center"/>
              <w:rPr>
                <w:noProof/>
                <w:sz w:val="20"/>
                <w:lang w:eastAsia="et-EE" w:bidi="et-EE"/>
              </w:rPr>
            </w:pP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2016</w:t>
            </w:r>
            <w:r>
              <w:rPr>
                <w:rStyle w:val="FootnoteReference"/>
                <w:noProof/>
              </w:rPr>
              <w:footnoteReference w:id="19"/>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2017</w:t>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2018</w:t>
            </w:r>
          </w:p>
        </w:tc>
        <w:tc>
          <w:tcPr>
            <w:tcW w:w="868"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2019</w:t>
            </w:r>
          </w:p>
        </w:tc>
        <w:tc>
          <w:tcPr>
            <w:tcW w:w="2604" w:type="dxa"/>
            <w:gridSpan w:val="3"/>
            <w:vAlign w:val="center"/>
          </w:tcPr>
          <w:p w:rsidR="001449F2" w:rsidRDefault="002324A9">
            <w:pPr>
              <w:jc w:val="center"/>
              <w:rPr>
                <w:b/>
                <w:noProof/>
                <w:sz w:val="18"/>
                <w:lang w:eastAsia="et-EE" w:bidi="et-EE"/>
              </w:rPr>
            </w:pPr>
            <w:r>
              <w:rPr>
                <w:noProof/>
                <w:lang w:eastAsia="et-EE" w:bidi="et-EE"/>
              </w:rPr>
              <w:t>Aasta 2020</w:t>
            </w:r>
          </w:p>
        </w:tc>
        <w:tc>
          <w:tcPr>
            <w:tcW w:w="1777" w:type="dxa"/>
            <w:vAlign w:val="center"/>
          </w:tcPr>
          <w:p w:rsidR="001449F2" w:rsidRDefault="002324A9">
            <w:pPr>
              <w:jc w:val="center"/>
              <w:rPr>
                <w:b/>
                <w:noProof/>
                <w:sz w:val="20"/>
                <w:lang w:eastAsia="et-EE" w:bidi="et-EE"/>
              </w:rPr>
            </w:pPr>
            <w:r>
              <w:rPr>
                <w:b/>
                <w:noProof/>
                <w:sz w:val="20"/>
                <w:lang w:eastAsia="et-EE" w:bidi="et-EE"/>
              </w:rPr>
              <w:t>KOKKU</w:t>
            </w:r>
          </w:p>
        </w:tc>
      </w:tr>
      <w:tr w:rsidR="001449F2">
        <w:tc>
          <w:tcPr>
            <w:tcW w:w="3960" w:type="dxa"/>
            <w:vMerge w:val="restart"/>
            <w:shd w:val="clear" w:color="auto" w:fill="C0C0C0"/>
            <w:vAlign w:val="center"/>
          </w:tcPr>
          <w:p w:rsidR="001449F2" w:rsidRDefault="002324A9">
            <w:pPr>
              <w:jc w:val="center"/>
              <w:rPr>
                <w:b/>
                <w:noProof/>
                <w:lang w:eastAsia="et-EE" w:bidi="et-EE"/>
              </w:rPr>
            </w:pPr>
            <w:r>
              <w:rPr>
                <w:noProof/>
                <w:lang w:eastAsia="et-EE" w:bidi="et-EE"/>
              </w:rPr>
              <w:t>Mitmeaastase finantsraamistiku</w:t>
            </w:r>
            <w:r>
              <w:rPr>
                <w:noProof/>
                <w:lang w:eastAsia="et-EE" w:bidi="et-EE"/>
              </w:rPr>
              <w:br/>
            </w:r>
            <w:r>
              <w:rPr>
                <w:b/>
                <w:noProof/>
                <w:lang w:eastAsia="et-EE" w:bidi="et-EE"/>
              </w:rPr>
              <w:t xml:space="preserve">RUBRIIKIDE 1–5 </w:t>
            </w:r>
            <w:r>
              <w:rPr>
                <w:noProof/>
                <w:lang w:eastAsia="et-EE" w:bidi="et-EE"/>
              </w:rPr>
              <w:br/>
            </w:r>
            <w:r>
              <w:rPr>
                <w:b/>
                <w:noProof/>
                <w:lang w:eastAsia="et-EE" w:bidi="et-EE"/>
              </w:rPr>
              <w:t>assigneeringud KOKKU</w:t>
            </w:r>
            <w:r>
              <w:rPr>
                <w:b/>
                <w:noProof/>
                <w:sz w:val="22"/>
                <w:lang w:eastAsia="et-EE" w:bidi="et-EE"/>
              </w:rPr>
              <w:t xml:space="preserve"> </w:t>
            </w:r>
          </w:p>
        </w:tc>
        <w:tc>
          <w:tcPr>
            <w:tcW w:w="2094" w:type="dxa"/>
            <w:gridSpan w:val="2"/>
            <w:vAlign w:val="center"/>
          </w:tcPr>
          <w:p w:rsidR="001449F2" w:rsidRDefault="002324A9">
            <w:pPr>
              <w:rPr>
                <w:noProof/>
                <w:sz w:val="14"/>
                <w:lang w:eastAsia="et-EE" w:bidi="et-EE"/>
              </w:rPr>
            </w:pPr>
            <w:r>
              <w:rPr>
                <w:noProof/>
                <w:sz w:val="18"/>
                <w:lang w:eastAsia="et-EE" w:bidi="et-EE"/>
              </w:rPr>
              <w:t>Kulukohustused</w:t>
            </w:r>
          </w:p>
        </w:tc>
        <w:tc>
          <w:tcPr>
            <w:tcW w:w="868" w:type="dxa"/>
            <w:vAlign w:val="center"/>
          </w:tcPr>
          <w:p w:rsidR="001449F2" w:rsidRDefault="002324A9">
            <w:pPr>
              <w:spacing w:before="20" w:after="20"/>
              <w:jc w:val="right"/>
              <w:rPr>
                <w:noProof/>
                <w:lang w:eastAsia="et-EE" w:bidi="et-EE"/>
              </w:rPr>
            </w:pPr>
            <w:r>
              <w:rPr>
                <w:noProof/>
                <w:lang w:eastAsia="et-EE" w:bidi="et-EE"/>
              </w:rPr>
              <w:t>0,858</w:t>
            </w:r>
          </w:p>
        </w:tc>
        <w:tc>
          <w:tcPr>
            <w:tcW w:w="868" w:type="dxa"/>
            <w:vAlign w:val="center"/>
          </w:tcPr>
          <w:p w:rsidR="001449F2" w:rsidRDefault="002324A9">
            <w:pPr>
              <w:spacing w:before="20" w:after="20"/>
              <w:jc w:val="right"/>
              <w:rPr>
                <w:noProof/>
                <w:lang w:eastAsia="et-EE" w:bidi="et-EE"/>
              </w:rPr>
            </w:pPr>
            <w:r>
              <w:rPr>
                <w:noProof/>
                <w:lang w:eastAsia="et-EE" w:bidi="et-EE"/>
              </w:rPr>
              <w:t>0,858</w:t>
            </w:r>
          </w:p>
        </w:tc>
        <w:tc>
          <w:tcPr>
            <w:tcW w:w="868" w:type="dxa"/>
            <w:vAlign w:val="center"/>
          </w:tcPr>
          <w:p w:rsidR="001449F2" w:rsidRDefault="002324A9">
            <w:pPr>
              <w:spacing w:before="20" w:after="20"/>
              <w:jc w:val="right"/>
              <w:rPr>
                <w:noProof/>
                <w:lang w:eastAsia="et-EE" w:bidi="et-EE"/>
              </w:rPr>
            </w:pPr>
            <w:r>
              <w:rPr>
                <w:noProof/>
                <w:lang w:eastAsia="et-EE" w:bidi="et-EE"/>
              </w:rPr>
              <w:t>0,858</w:t>
            </w:r>
          </w:p>
        </w:tc>
        <w:tc>
          <w:tcPr>
            <w:tcW w:w="868" w:type="dxa"/>
            <w:vAlign w:val="center"/>
          </w:tcPr>
          <w:p w:rsidR="001449F2" w:rsidRDefault="002324A9">
            <w:pPr>
              <w:spacing w:before="20" w:after="20"/>
              <w:jc w:val="right"/>
              <w:rPr>
                <w:noProof/>
                <w:lang w:eastAsia="et-EE" w:bidi="et-EE"/>
              </w:rPr>
            </w:pPr>
            <w:r>
              <w:rPr>
                <w:noProof/>
                <w:lang w:eastAsia="et-EE" w:bidi="et-EE"/>
              </w:rPr>
              <w:t>0,608</w:t>
            </w:r>
          </w:p>
        </w:tc>
        <w:tc>
          <w:tcPr>
            <w:tcW w:w="868" w:type="dxa"/>
            <w:vAlign w:val="center"/>
          </w:tcPr>
          <w:p w:rsidR="001449F2" w:rsidRDefault="002324A9">
            <w:pPr>
              <w:spacing w:before="20" w:after="20"/>
              <w:jc w:val="right"/>
              <w:rPr>
                <w:noProof/>
                <w:lang w:eastAsia="et-EE" w:bidi="et-EE"/>
              </w:rPr>
            </w:pPr>
            <w:r>
              <w:rPr>
                <w:noProof/>
                <w:lang w:eastAsia="et-EE" w:bidi="et-EE"/>
              </w:rPr>
              <w:t>0,608</w:t>
            </w:r>
          </w:p>
        </w:tc>
        <w:tc>
          <w:tcPr>
            <w:tcW w:w="868" w:type="dxa"/>
            <w:vAlign w:val="center"/>
          </w:tcPr>
          <w:p w:rsidR="001449F2" w:rsidRDefault="001449F2">
            <w:pPr>
              <w:spacing w:before="20" w:after="20"/>
              <w:jc w:val="right"/>
              <w:rPr>
                <w:noProof/>
                <w:lang w:eastAsia="et-EE" w:bidi="et-EE"/>
              </w:rPr>
            </w:pP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3,790</w:t>
            </w:r>
          </w:p>
        </w:tc>
      </w:tr>
      <w:tr w:rsidR="001449F2">
        <w:tc>
          <w:tcPr>
            <w:tcW w:w="3960" w:type="dxa"/>
            <w:vMerge/>
            <w:shd w:val="clear" w:color="auto" w:fill="C0C0C0"/>
          </w:tcPr>
          <w:p w:rsidR="001449F2" w:rsidRDefault="001449F2">
            <w:pPr>
              <w:rPr>
                <w:noProof/>
                <w:sz w:val="20"/>
                <w:lang w:eastAsia="et-EE" w:bidi="et-EE"/>
              </w:rPr>
            </w:pPr>
          </w:p>
        </w:tc>
        <w:tc>
          <w:tcPr>
            <w:tcW w:w="2094" w:type="dxa"/>
            <w:gridSpan w:val="2"/>
            <w:vAlign w:val="center"/>
          </w:tcPr>
          <w:p w:rsidR="001449F2" w:rsidRDefault="002324A9">
            <w:pPr>
              <w:rPr>
                <w:noProof/>
                <w:sz w:val="14"/>
                <w:lang w:eastAsia="et-EE" w:bidi="et-EE"/>
              </w:rPr>
            </w:pPr>
            <w:r>
              <w:rPr>
                <w:noProof/>
                <w:sz w:val="18"/>
                <w:lang w:eastAsia="et-EE" w:bidi="et-EE"/>
              </w:rPr>
              <w:t>Maksed</w:t>
            </w:r>
          </w:p>
        </w:tc>
        <w:tc>
          <w:tcPr>
            <w:tcW w:w="868" w:type="dxa"/>
            <w:vAlign w:val="center"/>
          </w:tcPr>
          <w:p w:rsidR="001449F2" w:rsidRDefault="002324A9">
            <w:pPr>
              <w:spacing w:before="20" w:after="20"/>
              <w:jc w:val="right"/>
              <w:rPr>
                <w:noProof/>
                <w:lang w:eastAsia="et-EE" w:bidi="et-EE"/>
              </w:rPr>
            </w:pPr>
            <w:r>
              <w:rPr>
                <w:noProof/>
                <w:lang w:eastAsia="et-EE" w:bidi="et-EE"/>
              </w:rPr>
              <w:t>0,558</w:t>
            </w:r>
          </w:p>
        </w:tc>
        <w:tc>
          <w:tcPr>
            <w:tcW w:w="868" w:type="dxa"/>
            <w:vAlign w:val="center"/>
          </w:tcPr>
          <w:p w:rsidR="001449F2" w:rsidRDefault="002324A9">
            <w:pPr>
              <w:spacing w:before="20" w:after="20"/>
              <w:jc w:val="right"/>
              <w:rPr>
                <w:noProof/>
                <w:lang w:eastAsia="et-EE" w:bidi="et-EE"/>
              </w:rPr>
            </w:pPr>
            <w:r>
              <w:rPr>
                <w:noProof/>
                <w:lang w:eastAsia="et-EE" w:bidi="et-EE"/>
              </w:rPr>
              <w:t>0,858</w:t>
            </w:r>
          </w:p>
        </w:tc>
        <w:tc>
          <w:tcPr>
            <w:tcW w:w="868" w:type="dxa"/>
            <w:vAlign w:val="center"/>
          </w:tcPr>
          <w:p w:rsidR="001449F2" w:rsidRDefault="002324A9">
            <w:pPr>
              <w:spacing w:before="20" w:after="20"/>
              <w:jc w:val="right"/>
              <w:rPr>
                <w:noProof/>
                <w:lang w:eastAsia="et-EE" w:bidi="et-EE"/>
              </w:rPr>
            </w:pPr>
            <w:r>
              <w:rPr>
                <w:noProof/>
                <w:lang w:eastAsia="et-EE" w:bidi="et-EE"/>
              </w:rPr>
              <w:t>0,858</w:t>
            </w:r>
          </w:p>
        </w:tc>
        <w:tc>
          <w:tcPr>
            <w:tcW w:w="868" w:type="dxa"/>
            <w:vAlign w:val="center"/>
          </w:tcPr>
          <w:p w:rsidR="001449F2" w:rsidRDefault="002324A9">
            <w:pPr>
              <w:spacing w:before="20" w:after="20"/>
              <w:jc w:val="right"/>
              <w:rPr>
                <w:noProof/>
                <w:lang w:eastAsia="et-EE" w:bidi="et-EE"/>
              </w:rPr>
            </w:pPr>
            <w:r>
              <w:rPr>
                <w:noProof/>
                <w:lang w:eastAsia="et-EE" w:bidi="et-EE"/>
              </w:rPr>
              <w:t>0,858</w:t>
            </w:r>
          </w:p>
        </w:tc>
        <w:tc>
          <w:tcPr>
            <w:tcW w:w="868" w:type="dxa"/>
            <w:vAlign w:val="center"/>
          </w:tcPr>
          <w:p w:rsidR="001449F2" w:rsidRDefault="002324A9">
            <w:pPr>
              <w:spacing w:before="20" w:after="20"/>
              <w:jc w:val="right"/>
              <w:rPr>
                <w:noProof/>
                <w:lang w:eastAsia="et-EE" w:bidi="et-EE"/>
              </w:rPr>
            </w:pPr>
            <w:r>
              <w:rPr>
                <w:noProof/>
                <w:lang w:eastAsia="et-EE" w:bidi="et-EE"/>
              </w:rPr>
              <w:t>0,608</w:t>
            </w:r>
          </w:p>
        </w:tc>
        <w:tc>
          <w:tcPr>
            <w:tcW w:w="868" w:type="dxa"/>
            <w:vAlign w:val="center"/>
          </w:tcPr>
          <w:p w:rsidR="001449F2" w:rsidRDefault="002324A9">
            <w:pPr>
              <w:spacing w:before="20" w:after="20"/>
              <w:jc w:val="right"/>
              <w:rPr>
                <w:noProof/>
                <w:lang w:eastAsia="et-EE" w:bidi="et-EE"/>
              </w:rPr>
            </w:pPr>
            <w:r>
              <w:rPr>
                <w:noProof/>
                <w:lang w:eastAsia="et-EE" w:bidi="et-EE"/>
              </w:rPr>
              <w:t>0,50</w:t>
            </w:r>
          </w:p>
        </w:tc>
        <w:tc>
          <w:tcPr>
            <w:tcW w:w="868" w:type="dxa"/>
            <w:vAlign w:val="center"/>
          </w:tcPr>
          <w:p w:rsidR="001449F2" w:rsidRDefault="001449F2">
            <w:pPr>
              <w:spacing w:before="20" w:after="20"/>
              <w:jc w:val="right"/>
              <w:rPr>
                <w:noProof/>
                <w:lang w:eastAsia="et-EE" w:bidi="et-EE"/>
              </w:rPr>
            </w:pPr>
          </w:p>
        </w:tc>
        <w:tc>
          <w:tcPr>
            <w:tcW w:w="1777" w:type="dxa"/>
            <w:vAlign w:val="center"/>
          </w:tcPr>
          <w:p w:rsidR="001449F2" w:rsidRDefault="002324A9">
            <w:pPr>
              <w:spacing w:before="20" w:after="20"/>
              <w:jc w:val="right"/>
              <w:rPr>
                <w:noProof/>
                <w:lang w:eastAsia="et-EE" w:bidi="et-EE"/>
              </w:rPr>
            </w:pPr>
            <w:r>
              <w:rPr>
                <w:noProof/>
                <w:lang w:eastAsia="et-EE" w:bidi="et-EE"/>
              </w:rPr>
              <w:t>3,790</w:t>
            </w:r>
          </w:p>
        </w:tc>
      </w:tr>
    </w:tbl>
    <w:p w:rsidR="001449F2" w:rsidRDefault="001449F2">
      <w:pPr>
        <w:rPr>
          <w:noProof/>
          <w:lang w:eastAsia="et-EE" w:bidi="et-EE"/>
        </w:rPr>
      </w:pPr>
    </w:p>
    <w:p w:rsidR="001449F2" w:rsidRDefault="001449F2">
      <w:pPr>
        <w:rPr>
          <w:noProof/>
          <w:lang w:eastAsia="et-EE" w:bidi="et-EE"/>
        </w:rPr>
        <w:sectPr w:rsidR="001449F2" w:rsidSect="002324A9">
          <w:headerReference w:type="default" r:id="rId24"/>
          <w:footerReference w:type="default" r:id="rId25"/>
          <w:headerReference w:type="first" r:id="rId26"/>
          <w:footerReference w:type="first" r:id="rId27"/>
          <w:pgSz w:w="16840" w:h="11907" w:orient="landscape" w:code="9"/>
          <w:pgMar w:top="1134" w:right="1418" w:bottom="1134" w:left="1418" w:header="709" w:footer="709" w:gutter="0"/>
          <w:cols w:space="708"/>
          <w:docGrid w:linePitch="360"/>
        </w:sectPr>
      </w:pPr>
    </w:p>
    <w:p w:rsidR="001449F2" w:rsidRDefault="002324A9">
      <w:pPr>
        <w:pStyle w:val="ManualHeading3"/>
        <w:rPr>
          <w:bCs/>
          <w:noProof/>
          <w:szCs w:val="24"/>
        </w:rPr>
      </w:pPr>
      <w:r>
        <w:rPr>
          <w:noProof/>
        </w:rPr>
        <w:lastRenderedPageBreak/>
        <w:t>3.2.2.</w:t>
      </w:r>
      <w:r>
        <w:rPr>
          <w:noProof/>
        </w:rPr>
        <w:tab/>
      </w:r>
      <w:r>
        <w:rPr>
          <w:noProof/>
          <w:lang w:eastAsia="et-EE" w:bidi="et-EE"/>
        </w:rPr>
        <w:t xml:space="preserve">Hinnanguline mõju tegevusassigneeringutele </w:t>
      </w:r>
    </w:p>
    <w:p w:rsidR="001449F2" w:rsidRDefault="002324A9">
      <w:pPr>
        <w:pStyle w:val="ListDash1"/>
        <w:rPr>
          <w:noProof/>
          <w:lang w:bidi="et-EE"/>
        </w:rPr>
      </w:pPr>
      <w:r>
        <w:rPr>
          <w:noProof/>
          <w:lang w:bidi="et-EE"/>
        </w:rPr>
        <w:sym w:font="Wingdings" w:char="F0A8"/>
      </w:r>
      <w:r>
        <w:rPr>
          <w:noProof/>
          <w:lang w:bidi="et-EE"/>
        </w:rPr>
        <w:t xml:space="preserve">Ettepanek/algatus ei hõlma tegevusassigneeringute kasutamist </w:t>
      </w:r>
    </w:p>
    <w:p w:rsidR="001449F2" w:rsidRDefault="002324A9">
      <w:pPr>
        <w:pStyle w:val="ListDash1"/>
        <w:rPr>
          <w:noProof/>
          <w:lang w:bidi="et-EE"/>
        </w:rPr>
      </w:pPr>
      <w:r>
        <w:rPr>
          <w:noProof/>
          <w:lang w:bidi="et-EE"/>
        </w:rPr>
        <w:sym w:font="Wingdings" w:char="F0FD"/>
      </w:r>
      <w:r>
        <w:rPr>
          <w:noProof/>
          <w:lang w:bidi="et-EE"/>
        </w:rPr>
        <w:t>Ettepanek/algatus hõlmab tegevusassigneeringute kasutamist, mis toimub järgmiselt:</w:t>
      </w:r>
    </w:p>
    <w:p w:rsidR="001449F2" w:rsidRDefault="002324A9">
      <w:pPr>
        <w:jc w:val="right"/>
        <w:rPr>
          <w:noProof/>
          <w:sz w:val="20"/>
          <w:lang w:eastAsia="et-EE" w:bidi="et-EE"/>
        </w:rPr>
      </w:pPr>
      <w:r>
        <w:rPr>
          <w:noProof/>
          <w:sz w:val="20"/>
          <w:lang w:eastAsia="et-EE" w:bidi="et-EE"/>
        </w:rPr>
        <w:t>kulukohustuste assigneeringud miljonites eurodes (kolm kohta pärast koma)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449F2">
        <w:trPr>
          <w:jc w:val="center"/>
        </w:trPr>
        <w:tc>
          <w:tcPr>
            <w:tcW w:w="1423" w:type="dxa"/>
            <w:vMerge w:val="restart"/>
            <w:vAlign w:val="center"/>
          </w:tcPr>
          <w:p w:rsidR="001449F2" w:rsidRDefault="002324A9">
            <w:pPr>
              <w:ind w:right="-29"/>
              <w:jc w:val="center"/>
              <w:rPr>
                <w:b/>
                <w:noProof/>
                <w:sz w:val="18"/>
                <w:szCs w:val="18"/>
                <w:lang w:eastAsia="et-EE" w:bidi="et-EE"/>
              </w:rPr>
            </w:pPr>
            <w:r>
              <w:rPr>
                <w:b/>
                <w:noProof/>
                <w:sz w:val="18"/>
                <w:lang w:eastAsia="et-EE" w:bidi="et-EE"/>
              </w:rPr>
              <w:t xml:space="preserve">Täpsustage eesmärgid ja väljundid </w:t>
            </w:r>
          </w:p>
          <w:p w:rsidR="001449F2" w:rsidRDefault="001449F2">
            <w:pPr>
              <w:ind w:right="-29"/>
              <w:jc w:val="center"/>
              <w:rPr>
                <w:b/>
                <w:noProof/>
                <w:sz w:val="18"/>
                <w:szCs w:val="18"/>
                <w:lang w:eastAsia="et-EE" w:bidi="et-EE"/>
              </w:rPr>
            </w:pPr>
          </w:p>
          <w:p w:rsidR="001449F2" w:rsidRDefault="002324A9">
            <w:pPr>
              <w:ind w:right="-29"/>
              <w:jc w:val="center"/>
              <w:rPr>
                <w:noProof/>
                <w:sz w:val="18"/>
                <w:szCs w:val="18"/>
                <w:lang w:eastAsia="et-EE" w:bidi="et-EE"/>
              </w:rPr>
            </w:pPr>
            <w:r>
              <w:rPr>
                <w:noProof/>
                <w:sz w:val="18"/>
                <w:lang w:eastAsia="et-EE" w:bidi="et-EE"/>
              </w:rPr>
              <w:sym w:font="Wingdings" w:char="F0F2"/>
            </w:r>
          </w:p>
        </w:tc>
        <w:tc>
          <w:tcPr>
            <w:tcW w:w="720" w:type="dxa"/>
            <w:vAlign w:val="center"/>
          </w:tcPr>
          <w:p w:rsidR="001449F2" w:rsidRDefault="001449F2">
            <w:pPr>
              <w:ind w:right="-29"/>
              <w:jc w:val="center"/>
              <w:rPr>
                <w:noProof/>
                <w:sz w:val="18"/>
                <w:szCs w:val="18"/>
                <w:lang w:eastAsia="et-EE" w:bidi="et-EE"/>
              </w:rPr>
            </w:pPr>
          </w:p>
        </w:tc>
        <w:tc>
          <w:tcPr>
            <w:tcW w:w="701" w:type="dxa"/>
            <w:vAlign w:val="center"/>
          </w:tcPr>
          <w:p w:rsidR="001449F2" w:rsidRDefault="001449F2">
            <w:pPr>
              <w:ind w:right="-29"/>
              <w:jc w:val="center"/>
              <w:rPr>
                <w:noProof/>
                <w:sz w:val="18"/>
                <w:szCs w:val="18"/>
                <w:lang w:eastAsia="et-EE" w:bidi="et-EE"/>
              </w:rPr>
            </w:pPr>
          </w:p>
        </w:tc>
        <w:tc>
          <w:tcPr>
            <w:tcW w:w="1224" w:type="dxa"/>
            <w:gridSpan w:val="2"/>
            <w:tcBorders>
              <w:left w:val="nil"/>
            </w:tcBorders>
            <w:vAlign w:val="center"/>
          </w:tcPr>
          <w:p w:rsidR="001449F2" w:rsidRDefault="002324A9">
            <w:pPr>
              <w:ind w:right="-29"/>
              <w:jc w:val="center"/>
              <w:rPr>
                <w:noProof/>
                <w:sz w:val="18"/>
                <w:szCs w:val="18"/>
                <w:lang w:eastAsia="et-EE" w:bidi="et-EE"/>
              </w:rPr>
            </w:pPr>
            <w:r>
              <w:rPr>
                <w:noProof/>
                <w:sz w:val="18"/>
                <w:lang w:eastAsia="et-EE" w:bidi="et-EE"/>
              </w:rPr>
              <w:t>Aasta</w:t>
            </w:r>
            <w:r>
              <w:rPr>
                <w:noProof/>
                <w:sz w:val="22"/>
                <w:lang w:eastAsia="et-EE" w:bidi="et-EE"/>
              </w:rPr>
              <w:br/>
            </w:r>
            <w:r>
              <w:rPr>
                <w:b/>
                <w:noProof/>
                <w:sz w:val="18"/>
                <w:lang w:eastAsia="et-EE" w:bidi="et-EE"/>
              </w:rPr>
              <w:t>2016</w:t>
            </w:r>
          </w:p>
        </w:tc>
        <w:tc>
          <w:tcPr>
            <w:tcW w:w="1260" w:type="dxa"/>
            <w:gridSpan w:val="2"/>
            <w:vAlign w:val="center"/>
          </w:tcPr>
          <w:p w:rsidR="001449F2" w:rsidRDefault="002324A9">
            <w:pPr>
              <w:ind w:right="-29"/>
              <w:jc w:val="center"/>
              <w:rPr>
                <w:noProof/>
                <w:sz w:val="18"/>
                <w:szCs w:val="18"/>
                <w:lang w:eastAsia="et-EE" w:bidi="et-EE"/>
              </w:rPr>
            </w:pPr>
            <w:r>
              <w:rPr>
                <w:noProof/>
                <w:sz w:val="18"/>
                <w:lang w:eastAsia="et-EE" w:bidi="et-EE"/>
              </w:rPr>
              <w:t>Aasta</w:t>
            </w:r>
            <w:r>
              <w:rPr>
                <w:noProof/>
                <w:sz w:val="22"/>
                <w:lang w:eastAsia="et-EE" w:bidi="et-EE"/>
              </w:rPr>
              <w:br/>
            </w:r>
            <w:r>
              <w:rPr>
                <w:b/>
                <w:noProof/>
                <w:sz w:val="18"/>
                <w:lang w:eastAsia="et-EE" w:bidi="et-EE"/>
              </w:rPr>
              <w:t>2017</w:t>
            </w:r>
          </w:p>
        </w:tc>
        <w:tc>
          <w:tcPr>
            <w:tcW w:w="1440" w:type="dxa"/>
            <w:gridSpan w:val="2"/>
            <w:vAlign w:val="center"/>
          </w:tcPr>
          <w:p w:rsidR="001449F2" w:rsidRDefault="002324A9">
            <w:pPr>
              <w:ind w:right="-29"/>
              <w:jc w:val="center"/>
              <w:rPr>
                <w:noProof/>
                <w:sz w:val="18"/>
                <w:szCs w:val="18"/>
                <w:lang w:eastAsia="et-EE" w:bidi="et-EE"/>
              </w:rPr>
            </w:pPr>
            <w:r>
              <w:rPr>
                <w:noProof/>
                <w:sz w:val="18"/>
                <w:lang w:eastAsia="et-EE" w:bidi="et-EE"/>
              </w:rPr>
              <w:t>Aasta</w:t>
            </w:r>
            <w:r>
              <w:rPr>
                <w:noProof/>
                <w:sz w:val="22"/>
                <w:lang w:eastAsia="et-EE" w:bidi="et-EE"/>
              </w:rPr>
              <w:br/>
            </w:r>
            <w:r>
              <w:rPr>
                <w:b/>
                <w:noProof/>
                <w:sz w:val="18"/>
                <w:lang w:eastAsia="et-EE" w:bidi="et-EE"/>
              </w:rPr>
              <w:t>2018</w:t>
            </w:r>
          </w:p>
        </w:tc>
        <w:tc>
          <w:tcPr>
            <w:tcW w:w="1620" w:type="dxa"/>
            <w:gridSpan w:val="3"/>
            <w:vAlign w:val="center"/>
          </w:tcPr>
          <w:p w:rsidR="001449F2" w:rsidRDefault="002324A9">
            <w:pPr>
              <w:ind w:right="-29"/>
              <w:jc w:val="center"/>
              <w:rPr>
                <w:noProof/>
                <w:sz w:val="18"/>
                <w:szCs w:val="18"/>
                <w:lang w:eastAsia="et-EE" w:bidi="et-EE"/>
              </w:rPr>
            </w:pPr>
            <w:r>
              <w:rPr>
                <w:noProof/>
                <w:sz w:val="18"/>
                <w:lang w:eastAsia="et-EE" w:bidi="et-EE"/>
              </w:rPr>
              <w:t>Aasta</w:t>
            </w:r>
            <w:r>
              <w:rPr>
                <w:noProof/>
                <w:sz w:val="22"/>
                <w:lang w:eastAsia="et-EE" w:bidi="et-EE"/>
              </w:rPr>
              <w:br/>
            </w:r>
            <w:r>
              <w:rPr>
                <w:b/>
                <w:noProof/>
                <w:sz w:val="18"/>
                <w:lang w:eastAsia="et-EE" w:bidi="et-EE"/>
              </w:rPr>
              <w:t>2019</w:t>
            </w:r>
          </w:p>
        </w:tc>
        <w:tc>
          <w:tcPr>
            <w:tcW w:w="3600" w:type="dxa"/>
            <w:gridSpan w:val="6"/>
            <w:vAlign w:val="center"/>
          </w:tcPr>
          <w:p w:rsidR="001449F2" w:rsidRDefault="002324A9">
            <w:pPr>
              <w:jc w:val="center"/>
              <w:rPr>
                <w:noProof/>
                <w:sz w:val="18"/>
                <w:szCs w:val="18"/>
                <w:lang w:eastAsia="et-EE" w:bidi="et-EE"/>
              </w:rPr>
            </w:pPr>
            <w:r>
              <w:rPr>
                <w:noProof/>
                <w:sz w:val="18"/>
                <w:lang w:eastAsia="et-EE" w:bidi="et-EE"/>
              </w:rPr>
              <w:t>2020</w:t>
            </w:r>
          </w:p>
        </w:tc>
        <w:tc>
          <w:tcPr>
            <w:tcW w:w="1620" w:type="dxa"/>
            <w:gridSpan w:val="2"/>
            <w:tcBorders>
              <w:left w:val="nil"/>
              <w:bottom w:val="nil"/>
            </w:tcBorders>
            <w:vAlign w:val="center"/>
          </w:tcPr>
          <w:p w:rsidR="001449F2" w:rsidRDefault="002324A9">
            <w:pPr>
              <w:ind w:right="-29"/>
              <w:jc w:val="center"/>
              <w:rPr>
                <w:noProof/>
                <w:sz w:val="18"/>
                <w:szCs w:val="18"/>
                <w:lang w:eastAsia="et-EE" w:bidi="et-EE"/>
              </w:rPr>
            </w:pPr>
            <w:r>
              <w:rPr>
                <w:b/>
                <w:noProof/>
                <w:sz w:val="18"/>
                <w:lang w:eastAsia="et-EE" w:bidi="et-EE"/>
              </w:rPr>
              <w:t>KOKKU</w:t>
            </w:r>
          </w:p>
        </w:tc>
      </w:tr>
      <w:tr w:rsidR="001449F2">
        <w:trPr>
          <w:jc w:val="center"/>
        </w:trPr>
        <w:tc>
          <w:tcPr>
            <w:tcW w:w="1423" w:type="dxa"/>
            <w:vMerge/>
            <w:vAlign w:val="center"/>
          </w:tcPr>
          <w:p w:rsidR="001449F2" w:rsidRDefault="001449F2">
            <w:pPr>
              <w:ind w:right="-29"/>
              <w:jc w:val="center"/>
              <w:rPr>
                <w:noProof/>
                <w:sz w:val="18"/>
                <w:szCs w:val="18"/>
                <w:lang w:eastAsia="et-EE" w:bidi="et-EE"/>
              </w:rPr>
            </w:pPr>
          </w:p>
        </w:tc>
        <w:tc>
          <w:tcPr>
            <w:tcW w:w="12185" w:type="dxa"/>
            <w:gridSpan w:val="19"/>
            <w:vAlign w:val="center"/>
          </w:tcPr>
          <w:p w:rsidR="001449F2" w:rsidRDefault="002324A9">
            <w:pPr>
              <w:spacing w:before="60" w:after="60"/>
              <w:ind w:right="-29"/>
              <w:jc w:val="center"/>
              <w:rPr>
                <w:noProof/>
                <w:sz w:val="18"/>
                <w:szCs w:val="18"/>
                <w:lang w:eastAsia="et-EE" w:bidi="et-EE"/>
              </w:rPr>
            </w:pPr>
            <w:r>
              <w:rPr>
                <w:b/>
                <w:noProof/>
                <w:sz w:val="18"/>
                <w:lang w:eastAsia="et-EE" w:bidi="et-EE"/>
              </w:rPr>
              <w:t>VÄLJUNDID</w:t>
            </w:r>
          </w:p>
        </w:tc>
      </w:tr>
      <w:tr w:rsidR="001449F2">
        <w:trPr>
          <w:cantSplit/>
          <w:trHeight w:val="1134"/>
          <w:jc w:val="center"/>
        </w:trPr>
        <w:tc>
          <w:tcPr>
            <w:tcW w:w="1423" w:type="dxa"/>
            <w:vMerge/>
            <w:vAlign w:val="center"/>
          </w:tcPr>
          <w:p w:rsidR="001449F2" w:rsidRDefault="001449F2">
            <w:pPr>
              <w:rPr>
                <w:noProof/>
                <w:sz w:val="18"/>
                <w:szCs w:val="18"/>
                <w:lang w:eastAsia="et-EE" w:bidi="et-EE"/>
              </w:rPr>
            </w:pPr>
          </w:p>
        </w:tc>
        <w:tc>
          <w:tcPr>
            <w:tcW w:w="720" w:type="dxa"/>
            <w:vAlign w:val="center"/>
          </w:tcPr>
          <w:p w:rsidR="001449F2" w:rsidRDefault="002324A9">
            <w:pPr>
              <w:jc w:val="center"/>
              <w:rPr>
                <w:noProof/>
                <w:sz w:val="18"/>
                <w:szCs w:val="18"/>
                <w:lang w:eastAsia="et-EE" w:bidi="et-EE"/>
              </w:rPr>
            </w:pPr>
            <w:r>
              <w:rPr>
                <w:noProof/>
                <w:sz w:val="18"/>
                <w:lang w:eastAsia="et-EE" w:bidi="et-EE"/>
              </w:rPr>
              <w:t>Liik</w:t>
            </w:r>
            <w:r>
              <w:rPr>
                <w:rStyle w:val="FootnoteReference"/>
                <w:noProof/>
              </w:rPr>
              <w:footnoteReference w:id="20"/>
            </w:r>
          </w:p>
          <w:p w:rsidR="001449F2" w:rsidRDefault="001449F2">
            <w:pPr>
              <w:spacing w:before="0" w:after="0"/>
              <w:jc w:val="center"/>
              <w:rPr>
                <w:noProof/>
                <w:sz w:val="18"/>
                <w:szCs w:val="18"/>
                <w:lang w:eastAsia="et-EE" w:bidi="et-EE"/>
              </w:rPr>
            </w:pPr>
          </w:p>
        </w:tc>
        <w:tc>
          <w:tcPr>
            <w:tcW w:w="701" w:type="dxa"/>
            <w:vAlign w:val="center"/>
          </w:tcPr>
          <w:p w:rsidR="001449F2" w:rsidRDefault="002324A9">
            <w:pPr>
              <w:jc w:val="center"/>
              <w:rPr>
                <w:noProof/>
                <w:sz w:val="18"/>
                <w:szCs w:val="18"/>
                <w:lang w:eastAsia="et-EE" w:bidi="et-EE"/>
              </w:rPr>
            </w:pPr>
            <w:r>
              <w:rPr>
                <w:noProof/>
                <w:sz w:val="18"/>
                <w:lang w:eastAsia="et-EE" w:bidi="et-EE"/>
              </w:rPr>
              <w:t>Väljundi keskmine kulu</w:t>
            </w:r>
          </w:p>
        </w:tc>
        <w:tc>
          <w:tcPr>
            <w:tcW w:w="504" w:type="dxa"/>
            <w:tcBorders>
              <w:left w:val="nil"/>
              <w:right w:val="dashSmallGap" w:sz="4" w:space="0" w:color="auto"/>
            </w:tcBorders>
            <w:shd w:val="pct10" w:color="auto" w:fill="auto"/>
            <w:textDirection w:val="btLr"/>
            <w:vAlign w:val="center"/>
          </w:tcPr>
          <w:p w:rsidR="001449F2" w:rsidRDefault="002324A9">
            <w:pPr>
              <w:ind w:left="113" w:right="113"/>
              <w:jc w:val="center"/>
              <w:rPr>
                <w:noProof/>
                <w:sz w:val="18"/>
                <w:szCs w:val="18"/>
                <w:lang w:eastAsia="et-EE" w:bidi="et-EE"/>
              </w:rPr>
            </w:pPr>
            <w:r>
              <w:rPr>
                <w:noProof/>
                <w:sz w:val="18"/>
                <w:lang w:eastAsia="et-EE" w:bidi="et-EE"/>
              </w:rPr>
              <w:t>Arv</w:t>
            </w:r>
          </w:p>
        </w:tc>
        <w:tc>
          <w:tcPr>
            <w:tcW w:w="720" w:type="dxa"/>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w:t>
            </w:r>
          </w:p>
        </w:tc>
        <w:tc>
          <w:tcPr>
            <w:tcW w:w="540" w:type="dxa"/>
            <w:tcBorders>
              <w:right w:val="dashSmallGap" w:sz="4" w:space="0" w:color="auto"/>
            </w:tcBorders>
            <w:shd w:val="pct10" w:color="auto" w:fill="auto"/>
            <w:textDirection w:val="btLr"/>
            <w:vAlign w:val="center"/>
          </w:tcPr>
          <w:p w:rsidR="001449F2" w:rsidRDefault="002324A9">
            <w:pPr>
              <w:ind w:left="113" w:right="113"/>
              <w:jc w:val="center"/>
              <w:rPr>
                <w:noProof/>
                <w:sz w:val="18"/>
                <w:szCs w:val="18"/>
                <w:lang w:eastAsia="et-EE" w:bidi="et-EE"/>
              </w:rPr>
            </w:pPr>
            <w:r>
              <w:rPr>
                <w:noProof/>
                <w:sz w:val="18"/>
                <w:lang w:eastAsia="et-EE" w:bidi="et-EE"/>
              </w:rPr>
              <w:t>Arv</w:t>
            </w:r>
          </w:p>
        </w:tc>
        <w:tc>
          <w:tcPr>
            <w:tcW w:w="720" w:type="dxa"/>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w:t>
            </w:r>
          </w:p>
        </w:tc>
        <w:tc>
          <w:tcPr>
            <w:tcW w:w="720" w:type="dxa"/>
            <w:tcBorders>
              <w:right w:val="dashSmallGap" w:sz="4" w:space="0" w:color="auto"/>
            </w:tcBorders>
            <w:shd w:val="pct10" w:color="auto" w:fill="auto"/>
            <w:textDirection w:val="btLr"/>
            <w:vAlign w:val="center"/>
          </w:tcPr>
          <w:p w:rsidR="001449F2" w:rsidRDefault="002324A9">
            <w:pPr>
              <w:ind w:left="113" w:right="113"/>
              <w:jc w:val="center"/>
              <w:rPr>
                <w:noProof/>
                <w:sz w:val="18"/>
                <w:szCs w:val="18"/>
                <w:lang w:eastAsia="et-EE" w:bidi="et-EE"/>
              </w:rPr>
            </w:pPr>
            <w:r>
              <w:rPr>
                <w:noProof/>
                <w:sz w:val="18"/>
                <w:lang w:eastAsia="et-EE" w:bidi="et-EE"/>
              </w:rPr>
              <w:t>Arv</w:t>
            </w:r>
          </w:p>
        </w:tc>
        <w:tc>
          <w:tcPr>
            <w:tcW w:w="720" w:type="dxa"/>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w:t>
            </w:r>
          </w:p>
        </w:tc>
        <w:tc>
          <w:tcPr>
            <w:tcW w:w="900" w:type="dxa"/>
            <w:tcBorders>
              <w:right w:val="dashSmallGap" w:sz="4" w:space="0" w:color="auto"/>
            </w:tcBorders>
            <w:shd w:val="pct10" w:color="auto" w:fill="auto"/>
            <w:textDirection w:val="btLr"/>
            <w:vAlign w:val="center"/>
          </w:tcPr>
          <w:p w:rsidR="001449F2" w:rsidRDefault="002324A9">
            <w:pPr>
              <w:ind w:left="113" w:right="113"/>
              <w:jc w:val="center"/>
              <w:rPr>
                <w:noProof/>
                <w:sz w:val="18"/>
                <w:szCs w:val="18"/>
                <w:lang w:eastAsia="et-EE" w:bidi="et-EE"/>
              </w:rPr>
            </w:pPr>
            <w:r>
              <w:rPr>
                <w:noProof/>
                <w:sz w:val="18"/>
                <w:lang w:eastAsia="et-EE" w:bidi="et-EE"/>
              </w:rPr>
              <w:t>Arv</w:t>
            </w:r>
          </w:p>
        </w:tc>
        <w:tc>
          <w:tcPr>
            <w:tcW w:w="720" w:type="dxa"/>
            <w:gridSpan w:val="2"/>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w:t>
            </w:r>
          </w:p>
        </w:tc>
        <w:tc>
          <w:tcPr>
            <w:tcW w:w="540" w:type="dxa"/>
            <w:tcBorders>
              <w:right w:val="dashSmallGap" w:sz="4" w:space="0" w:color="auto"/>
            </w:tcBorders>
            <w:shd w:val="pct10" w:color="auto" w:fill="auto"/>
            <w:textDirection w:val="btLr"/>
            <w:vAlign w:val="center"/>
          </w:tcPr>
          <w:p w:rsidR="001449F2" w:rsidRDefault="002324A9">
            <w:pPr>
              <w:ind w:left="113" w:right="113"/>
              <w:jc w:val="center"/>
              <w:rPr>
                <w:noProof/>
                <w:sz w:val="18"/>
                <w:szCs w:val="18"/>
                <w:lang w:eastAsia="et-EE" w:bidi="et-EE"/>
              </w:rPr>
            </w:pPr>
            <w:r>
              <w:rPr>
                <w:noProof/>
                <w:sz w:val="18"/>
                <w:lang w:eastAsia="et-EE" w:bidi="et-EE"/>
              </w:rPr>
              <w:t>Arv</w:t>
            </w:r>
          </w:p>
        </w:tc>
        <w:tc>
          <w:tcPr>
            <w:tcW w:w="648" w:type="dxa"/>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w:t>
            </w:r>
          </w:p>
        </w:tc>
        <w:tc>
          <w:tcPr>
            <w:tcW w:w="432" w:type="dxa"/>
            <w:tcBorders>
              <w:right w:val="dashSmallGap" w:sz="4" w:space="0" w:color="auto"/>
            </w:tcBorders>
            <w:shd w:val="pct10" w:color="auto" w:fill="auto"/>
            <w:textDirection w:val="btLr"/>
            <w:vAlign w:val="center"/>
          </w:tcPr>
          <w:p w:rsidR="001449F2" w:rsidRDefault="002324A9">
            <w:pPr>
              <w:ind w:left="113" w:right="113"/>
              <w:jc w:val="center"/>
              <w:rPr>
                <w:noProof/>
                <w:sz w:val="18"/>
                <w:szCs w:val="18"/>
                <w:lang w:eastAsia="et-EE" w:bidi="et-EE"/>
              </w:rPr>
            </w:pPr>
            <w:r>
              <w:rPr>
                <w:noProof/>
                <w:sz w:val="18"/>
                <w:lang w:eastAsia="et-EE" w:bidi="et-EE"/>
              </w:rPr>
              <w:t>Arv</w:t>
            </w:r>
          </w:p>
        </w:tc>
        <w:tc>
          <w:tcPr>
            <w:tcW w:w="720" w:type="dxa"/>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w:t>
            </w:r>
          </w:p>
        </w:tc>
        <w:tc>
          <w:tcPr>
            <w:tcW w:w="540" w:type="dxa"/>
            <w:tcBorders>
              <w:right w:val="dashSmallGap" w:sz="4" w:space="0" w:color="auto"/>
            </w:tcBorders>
            <w:shd w:val="pct10" w:color="auto" w:fill="auto"/>
            <w:textDirection w:val="btLr"/>
            <w:vAlign w:val="center"/>
          </w:tcPr>
          <w:p w:rsidR="001449F2" w:rsidRDefault="002324A9">
            <w:pPr>
              <w:ind w:left="113" w:right="113"/>
              <w:jc w:val="center"/>
              <w:rPr>
                <w:noProof/>
                <w:sz w:val="18"/>
                <w:szCs w:val="18"/>
                <w:lang w:eastAsia="et-EE" w:bidi="et-EE"/>
              </w:rPr>
            </w:pPr>
            <w:r>
              <w:rPr>
                <w:noProof/>
                <w:sz w:val="18"/>
                <w:lang w:eastAsia="et-EE" w:bidi="et-EE"/>
              </w:rPr>
              <w:t>Arv</w:t>
            </w:r>
          </w:p>
        </w:tc>
        <w:tc>
          <w:tcPr>
            <w:tcW w:w="720" w:type="dxa"/>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w:t>
            </w:r>
          </w:p>
        </w:tc>
        <w:tc>
          <w:tcPr>
            <w:tcW w:w="720" w:type="dxa"/>
            <w:tcBorders>
              <w:righ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Väljundite arv kokku</w:t>
            </w:r>
          </w:p>
        </w:tc>
        <w:tc>
          <w:tcPr>
            <w:tcW w:w="900" w:type="dxa"/>
            <w:tcBorders>
              <w:left w:val="dashSmallGap" w:sz="4" w:space="0" w:color="auto"/>
            </w:tcBorders>
            <w:shd w:val="pct10" w:color="auto" w:fill="auto"/>
            <w:vAlign w:val="center"/>
          </w:tcPr>
          <w:p w:rsidR="001449F2" w:rsidRDefault="002324A9">
            <w:pPr>
              <w:jc w:val="center"/>
              <w:rPr>
                <w:noProof/>
                <w:sz w:val="18"/>
                <w:szCs w:val="18"/>
                <w:lang w:eastAsia="et-EE" w:bidi="et-EE"/>
              </w:rPr>
            </w:pPr>
            <w:r>
              <w:rPr>
                <w:noProof/>
                <w:sz w:val="18"/>
                <w:lang w:eastAsia="et-EE" w:bidi="et-EE"/>
              </w:rPr>
              <w:t>Kulud kokku</w:t>
            </w:r>
          </w:p>
        </w:tc>
      </w:tr>
      <w:tr w:rsidR="001449F2">
        <w:trPr>
          <w:jc w:val="center"/>
        </w:trPr>
        <w:tc>
          <w:tcPr>
            <w:tcW w:w="2844" w:type="dxa"/>
            <w:gridSpan w:val="3"/>
            <w:vAlign w:val="center"/>
          </w:tcPr>
          <w:p w:rsidR="001449F2" w:rsidRDefault="002324A9">
            <w:pPr>
              <w:spacing w:before="60" w:after="60"/>
              <w:ind w:right="-29"/>
              <w:jc w:val="center"/>
              <w:rPr>
                <w:noProof/>
                <w:sz w:val="18"/>
                <w:szCs w:val="18"/>
                <w:lang w:eastAsia="et-EE" w:bidi="et-EE"/>
              </w:rPr>
            </w:pPr>
            <w:r>
              <w:rPr>
                <w:noProof/>
                <w:sz w:val="18"/>
                <w:lang w:eastAsia="et-EE" w:bidi="et-EE"/>
              </w:rPr>
              <w:t>ERIEESMÄRK nr 1</w:t>
            </w:r>
            <w:r>
              <w:rPr>
                <w:rStyle w:val="FootnoteReference"/>
                <w:noProof/>
              </w:rPr>
              <w:footnoteReference w:id="21"/>
            </w:r>
            <w:r>
              <w:rPr>
                <w:noProof/>
                <w:sz w:val="18"/>
                <w:lang w:eastAsia="et-EE" w:bidi="et-EE"/>
              </w:rPr>
              <w:t>...</w:t>
            </w:r>
          </w:p>
        </w:tc>
        <w:tc>
          <w:tcPr>
            <w:tcW w:w="504"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54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90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gridSpan w:val="2"/>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54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648"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432"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54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90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r>
      <w:tr w:rsidR="001449F2">
        <w:trPr>
          <w:trHeight w:hRule="exact" w:val="369"/>
          <w:jc w:val="center"/>
        </w:trPr>
        <w:tc>
          <w:tcPr>
            <w:tcW w:w="1423" w:type="dxa"/>
          </w:tcPr>
          <w:p w:rsidR="001449F2" w:rsidRDefault="002324A9">
            <w:pPr>
              <w:ind w:right="-29"/>
              <w:jc w:val="center"/>
              <w:rPr>
                <w:noProof/>
                <w:sz w:val="18"/>
                <w:szCs w:val="18"/>
                <w:lang w:eastAsia="et-EE" w:bidi="et-EE"/>
              </w:rPr>
            </w:pPr>
            <w:r>
              <w:rPr>
                <w:noProof/>
                <w:sz w:val="18"/>
                <w:lang w:eastAsia="et-EE" w:bidi="et-EE"/>
              </w:rPr>
              <w:t>- Väljund</w:t>
            </w:r>
          </w:p>
        </w:tc>
        <w:tc>
          <w:tcPr>
            <w:tcW w:w="720" w:type="dxa"/>
          </w:tcPr>
          <w:p w:rsidR="001449F2" w:rsidRDefault="001449F2">
            <w:pPr>
              <w:ind w:right="-29"/>
              <w:jc w:val="center"/>
              <w:rPr>
                <w:noProof/>
                <w:sz w:val="18"/>
                <w:szCs w:val="18"/>
                <w:lang w:eastAsia="et-EE" w:bidi="et-EE"/>
              </w:rPr>
            </w:pPr>
          </w:p>
        </w:tc>
        <w:tc>
          <w:tcPr>
            <w:tcW w:w="701" w:type="dxa"/>
          </w:tcPr>
          <w:p w:rsidR="001449F2" w:rsidRDefault="001449F2">
            <w:pPr>
              <w:ind w:right="-29"/>
              <w:jc w:val="center"/>
              <w:rPr>
                <w:noProof/>
                <w:sz w:val="18"/>
                <w:szCs w:val="18"/>
                <w:lang w:eastAsia="et-EE" w:bidi="et-EE"/>
              </w:rPr>
            </w:pPr>
          </w:p>
        </w:tc>
        <w:tc>
          <w:tcPr>
            <w:tcW w:w="504"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540"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720"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900" w:type="dxa"/>
            <w:tcBorders>
              <w:right w:val="dashSmallGap" w:sz="4" w:space="0" w:color="auto"/>
            </w:tcBorders>
          </w:tcPr>
          <w:p w:rsidR="001449F2" w:rsidRDefault="001449F2">
            <w:pPr>
              <w:ind w:right="-29"/>
              <w:jc w:val="center"/>
              <w:rPr>
                <w:noProof/>
                <w:sz w:val="18"/>
                <w:szCs w:val="18"/>
                <w:lang w:eastAsia="et-EE" w:bidi="et-EE"/>
              </w:rPr>
            </w:pPr>
          </w:p>
        </w:tc>
        <w:tc>
          <w:tcPr>
            <w:tcW w:w="720" w:type="dxa"/>
            <w:gridSpan w:val="2"/>
            <w:tcBorders>
              <w:left w:val="dashSmallGap" w:sz="4" w:space="0" w:color="auto"/>
            </w:tcBorders>
          </w:tcPr>
          <w:p w:rsidR="001449F2" w:rsidRDefault="001449F2">
            <w:pPr>
              <w:ind w:right="-29"/>
              <w:jc w:val="center"/>
              <w:rPr>
                <w:noProof/>
                <w:sz w:val="18"/>
                <w:szCs w:val="18"/>
                <w:lang w:eastAsia="et-EE" w:bidi="et-EE"/>
              </w:rPr>
            </w:pPr>
          </w:p>
        </w:tc>
        <w:tc>
          <w:tcPr>
            <w:tcW w:w="540" w:type="dxa"/>
            <w:tcBorders>
              <w:right w:val="dashSmallGap" w:sz="4" w:space="0" w:color="auto"/>
            </w:tcBorders>
          </w:tcPr>
          <w:p w:rsidR="001449F2" w:rsidRDefault="001449F2">
            <w:pPr>
              <w:ind w:right="-29"/>
              <w:jc w:val="center"/>
              <w:rPr>
                <w:noProof/>
                <w:sz w:val="18"/>
                <w:szCs w:val="18"/>
                <w:lang w:eastAsia="et-EE" w:bidi="et-EE"/>
              </w:rPr>
            </w:pPr>
          </w:p>
        </w:tc>
        <w:tc>
          <w:tcPr>
            <w:tcW w:w="648" w:type="dxa"/>
            <w:tcBorders>
              <w:left w:val="dashSmallGap" w:sz="4" w:space="0" w:color="auto"/>
            </w:tcBorders>
          </w:tcPr>
          <w:p w:rsidR="001449F2" w:rsidRDefault="001449F2">
            <w:pPr>
              <w:ind w:right="-29"/>
              <w:jc w:val="center"/>
              <w:rPr>
                <w:noProof/>
                <w:sz w:val="18"/>
                <w:szCs w:val="18"/>
                <w:lang w:eastAsia="et-EE" w:bidi="et-EE"/>
              </w:rPr>
            </w:pPr>
          </w:p>
        </w:tc>
        <w:tc>
          <w:tcPr>
            <w:tcW w:w="432"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540"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900" w:type="dxa"/>
          </w:tcPr>
          <w:p w:rsidR="001449F2" w:rsidRDefault="001449F2">
            <w:pPr>
              <w:ind w:right="-29"/>
              <w:jc w:val="center"/>
              <w:rPr>
                <w:noProof/>
                <w:sz w:val="18"/>
                <w:szCs w:val="18"/>
                <w:lang w:eastAsia="et-EE" w:bidi="et-EE"/>
              </w:rPr>
            </w:pPr>
          </w:p>
        </w:tc>
      </w:tr>
      <w:tr w:rsidR="001449F2">
        <w:trPr>
          <w:trHeight w:hRule="exact" w:val="369"/>
          <w:jc w:val="center"/>
        </w:trPr>
        <w:tc>
          <w:tcPr>
            <w:tcW w:w="1423" w:type="dxa"/>
          </w:tcPr>
          <w:p w:rsidR="001449F2" w:rsidRDefault="002324A9">
            <w:pPr>
              <w:ind w:right="-29"/>
              <w:jc w:val="center"/>
              <w:rPr>
                <w:noProof/>
                <w:sz w:val="18"/>
                <w:szCs w:val="18"/>
                <w:lang w:eastAsia="et-EE" w:bidi="et-EE"/>
              </w:rPr>
            </w:pPr>
            <w:r>
              <w:rPr>
                <w:noProof/>
                <w:sz w:val="18"/>
                <w:lang w:eastAsia="et-EE" w:bidi="et-EE"/>
              </w:rPr>
              <w:t>- Väljund</w:t>
            </w:r>
          </w:p>
        </w:tc>
        <w:tc>
          <w:tcPr>
            <w:tcW w:w="720" w:type="dxa"/>
          </w:tcPr>
          <w:p w:rsidR="001449F2" w:rsidRDefault="001449F2">
            <w:pPr>
              <w:ind w:right="-29"/>
              <w:jc w:val="center"/>
              <w:rPr>
                <w:noProof/>
                <w:sz w:val="18"/>
                <w:szCs w:val="18"/>
                <w:lang w:eastAsia="et-EE" w:bidi="et-EE"/>
              </w:rPr>
            </w:pPr>
          </w:p>
        </w:tc>
        <w:tc>
          <w:tcPr>
            <w:tcW w:w="701" w:type="dxa"/>
          </w:tcPr>
          <w:p w:rsidR="001449F2" w:rsidRDefault="001449F2">
            <w:pPr>
              <w:ind w:right="-29"/>
              <w:jc w:val="center"/>
              <w:rPr>
                <w:noProof/>
                <w:sz w:val="18"/>
                <w:szCs w:val="18"/>
                <w:lang w:eastAsia="et-EE" w:bidi="et-EE"/>
              </w:rPr>
            </w:pPr>
          </w:p>
        </w:tc>
        <w:tc>
          <w:tcPr>
            <w:tcW w:w="504"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540"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720"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900" w:type="dxa"/>
            <w:tcBorders>
              <w:right w:val="dashSmallGap" w:sz="4" w:space="0" w:color="auto"/>
            </w:tcBorders>
          </w:tcPr>
          <w:p w:rsidR="001449F2" w:rsidRDefault="001449F2">
            <w:pPr>
              <w:ind w:right="-29"/>
              <w:jc w:val="center"/>
              <w:rPr>
                <w:noProof/>
                <w:sz w:val="18"/>
                <w:szCs w:val="18"/>
                <w:lang w:eastAsia="et-EE" w:bidi="et-EE"/>
              </w:rPr>
            </w:pPr>
          </w:p>
        </w:tc>
        <w:tc>
          <w:tcPr>
            <w:tcW w:w="720" w:type="dxa"/>
            <w:gridSpan w:val="2"/>
            <w:tcBorders>
              <w:left w:val="dashSmallGap" w:sz="4" w:space="0" w:color="auto"/>
            </w:tcBorders>
          </w:tcPr>
          <w:p w:rsidR="001449F2" w:rsidRDefault="001449F2">
            <w:pPr>
              <w:ind w:right="-29"/>
              <w:jc w:val="center"/>
              <w:rPr>
                <w:noProof/>
                <w:sz w:val="18"/>
                <w:szCs w:val="18"/>
                <w:lang w:eastAsia="et-EE" w:bidi="et-EE"/>
              </w:rPr>
            </w:pPr>
          </w:p>
        </w:tc>
        <w:tc>
          <w:tcPr>
            <w:tcW w:w="540" w:type="dxa"/>
            <w:tcBorders>
              <w:right w:val="dashSmallGap" w:sz="4" w:space="0" w:color="auto"/>
            </w:tcBorders>
          </w:tcPr>
          <w:p w:rsidR="001449F2" w:rsidRDefault="001449F2">
            <w:pPr>
              <w:ind w:right="-29"/>
              <w:jc w:val="center"/>
              <w:rPr>
                <w:noProof/>
                <w:sz w:val="18"/>
                <w:szCs w:val="18"/>
                <w:lang w:eastAsia="et-EE" w:bidi="et-EE"/>
              </w:rPr>
            </w:pPr>
          </w:p>
        </w:tc>
        <w:tc>
          <w:tcPr>
            <w:tcW w:w="648" w:type="dxa"/>
            <w:tcBorders>
              <w:left w:val="dashSmallGap" w:sz="4" w:space="0" w:color="auto"/>
            </w:tcBorders>
          </w:tcPr>
          <w:p w:rsidR="001449F2" w:rsidRDefault="001449F2">
            <w:pPr>
              <w:ind w:right="-29"/>
              <w:jc w:val="center"/>
              <w:rPr>
                <w:noProof/>
                <w:sz w:val="18"/>
                <w:szCs w:val="18"/>
                <w:lang w:eastAsia="et-EE" w:bidi="et-EE"/>
              </w:rPr>
            </w:pPr>
          </w:p>
        </w:tc>
        <w:tc>
          <w:tcPr>
            <w:tcW w:w="432"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540" w:type="dxa"/>
            <w:tcBorders>
              <w:right w:val="dashSmallGap" w:sz="4" w:space="0" w:color="auto"/>
            </w:tcBorders>
          </w:tcPr>
          <w:p w:rsidR="001449F2" w:rsidRDefault="001449F2">
            <w:pPr>
              <w:ind w:right="-29"/>
              <w:jc w:val="center"/>
              <w:rPr>
                <w:noProof/>
                <w:sz w:val="18"/>
                <w:szCs w:val="18"/>
                <w:lang w:eastAsia="et-EE" w:bidi="et-EE"/>
              </w:rPr>
            </w:pPr>
          </w:p>
        </w:tc>
        <w:tc>
          <w:tcPr>
            <w:tcW w:w="720" w:type="dxa"/>
            <w:tcBorders>
              <w:left w:val="dashSmallGap" w:sz="4" w:space="0" w:color="auto"/>
            </w:tcBorders>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900" w:type="dxa"/>
          </w:tcPr>
          <w:p w:rsidR="001449F2" w:rsidRDefault="001449F2">
            <w:pPr>
              <w:ind w:right="-29"/>
              <w:jc w:val="center"/>
              <w:rPr>
                <w:noProof/>
                <w:sz w:val="18"/>
                <w:szCs w:val="18"/>
                <w:lang w:eastAsia="et-EE" w:bidi="et-EE"/>
              </w:rPr>
            </w:pPr>
          </w:p>
        </w:tc>
      </w:tr>
      <w:tr w:rsidR="001449F2">
        <w:trPr>
          <w:trHeight w:hRule="exact" w:val="369"/>
          <w:jc w:val="center"/>
        </w:trPr>
        <w:tc>
          <w:tcPr>
            <w:tcW w:w="1423" w:type="dxa"/>
          </w:tcPr>
          <w:p w:rsidR="001449F2" w:rsidRDefault="002324A9">
            <w:pPr>
              <w:ind w:right="-29"/>
              <w:jc w:val="center"/>
              <w:rPr>
                <w:noProof/>
                <w:sz w:val="18"/>
                <w:szCs w:val="18"/>
                <w:lang w:eastAsia="et-EE" w:bidi="et-EE"/>
              </w:rPr>
            </w:pPr>
            <w:r>
              <w:rPr>
                <w:noProof/>
                <w:sz w:val="18"/>
                <w:lang w:eastAsia="et-EE" w:bidi="et-EE"/>
              </w:rPr>
              <w:t>- Väljund</w:t>
            </w:r>
          </w:p>
        </w:tc>
        <w:tc>
          <w:tcPr>
            <w:tcW w:w="720" w:type="dxa"/>
          </w:tcPr>
          <w:p w:rsidR="001449F2" w:rsidRDefault="001449F2">
            <w:pPr>
              <w:ind w:right="-29"/>
              <w:jc w:val="center"/>
              <w:rPr>
                <w:noProof/>
                <w:sz w:val="18"/>
                <w:szCs w:val="18"/>
                <w:lang w:eastAsia="et-EE" w:bidi="et-EE"/>
              </w:rPr>
            </w:pPr>
          </w:p>
        </w:tc>
        <w:tc>
          <w:tcPr>
            <w:tcW w:w="701" w:type="dxa"/>
          </w:tcPr>
          <w:p w:rsidR="001449F2" w:rsidRDefault="001449F2">
            <w:pPr>
              <w:ind w:right="-29"/>
              <w:jc w:val="center"/>
              <w:rPr>
                <w:noProof/>
                <w:sz w:val="18"/>
                <w:szCs w:val="18"/>
                <w:lang w:eastAsia="et-EE" w:bidi="et-EE"/>
              </w:rPr>
            </w:pPr>
          </w:p>
        </w:tc>
        <w:tc>
          <w:tcPr>
            <w:tcW w:w="504"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54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900" w:type="dxa"/>
          </w:tcPr>
          <w:p w:rsidR="001449F2" w:rsidRDefault="001449F2">
            <w:pPr>
              <w:ind w:right="-29"/>
              <w:jc w:val="center"/>
              <w:rPr>
                <w:noProof/>
                <w:sz w:val="18"/>
                <w:szCs w:val="18"/>
                <w:lang w:eastAsia="et-EE" w:bidi="et-EE"/>
              </w:rPr>
            </w:pPr>
          </w:p>
        </w:tc>
        <w:tc>
          <w:tcPr>
            <w:tcW w:w="720" w:type="dxa"/>
            <w:gridSpan w:val="2"/>
          </w:tcPr>
          <w:p w:rsidR="001449F2" w:rsidRDefault="001449F2">
            <w:pPr>
              <w:ind w:right="-29"/>
              <w:jc w:val="center"/>
              <w:rPr>
                <w:noProof/>
                <w:sz w:val="18"/>
                <w:szCs w:val="18"/>
                <w:lang w:eastAsia="et-EE" w:bidi="et-EE"/>
              </w:rPr>
            </w:pPr>
          </w:p>
        </w:tc>
        <w:tc>
          <w:tcPr>
            <w:tcW w:w="540" w:type="dxa"/>
          </w:tcPr>
          <w:p w:rsidR="001449F2" w:rsidRDefault="001449F2">
            <w:pPr>
              <w:ind w:right="-29"/>
              <w:jc w:val="center"/>
              <w:rPr>
                <w:noProof/>
                <w:sz w:val="18"/>
                <w:szCs w:val="18"/>
                <w:lang w:eastAsia="et-EE" w:bidi="et-EE"/>
              </w:rPr>
            </w:pPr>
          </w:p>
        </w:tc>
        <w:tc>
          <w:tcPr>
            <w:tcW w:w="648" w:type="dxa"/>
          </w:tcPr>
          <w:p w:rsidR="001449F2" w:rsidRDefault="001449F2">
            <w:pPr>
              <w:ind w:right="-29"/>
              <w:jc w:val="center"/>
              <w:rPr>
                <w:noProof/>
                <w:sz w:val="18"/>
                <w:szCs w:val="18"/>
                <w:lang w:eastAsia="et-EE" w:bidi="et-EE"/>
              </w:rPr>
            </w:pPr>
          </w:p>
        </w:tc>
        <w:tc>
          <w:tcPr>
            <w:tcW w:w="432"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54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900" w:type="dxa"/>
          </w:tcPr>
          <w:p w:rsidR="001449F2" w:rsidRDefault="001449F2">
            <w:pPr>
              <w:ind w:right="-29"/>
              <w:jc w:val="center"/>
              <w:rPr>
                <w:noProof/>
                <w:sz w:val="18"/>
                <w:szCs w:val="18"/>
                <w:lang w:eastAsia="et-EE" w:bidi="et-EE"/>
              </w:rPr>
            </w:pPr>
          </w:p>
        </w:tc>
      </w:tr>
      <w:tr w:rsidR="001449F2">
        <w:trPr>
          <w:jc w:val="center"/>
        </w:trPr>
        <w:tc>
          <w:tcPr>
            <w:tcW w:w="2844" w:type="dxa"/>
            <w:gridSpan w:val="3"/>
            <w:tcBorders>
              <w:bottom w:val="single" w:sz="12" w:space="0" w:color="auto"/>
            </w:tcBorders>
            <w:vAlign w:val="center"/>
          </w:tcPr>
          <w:p w:rsidR="001449F2" w:rsidRDefault="002324A9">
            <w:pPr>
              <w:ind w:right="-29"/>
              <w:jc w:val="center"/>
              <w:rPr>
                <w:noProof/>
                <w:sz w:val="18"/>
                <w:szCs w:val="18"/>
                <w:lang w:eastAsia="et-EE" w:bidi="et-EE"/>
              </w:rPr>
            </w:pPr>
            <w:r>
              <w:rPr>
                <w:noProof/>
                <w:sz w:val="18"/>
                <w:lang w:eastAsia="et-EE" w:bidi="et-EE"/>
              </w:rPr>
              <w:t>Erieesmärk nr 1 kokku</w:t>
            </w:r>
          </w:p>
        </w:tc>
        <w:tc>
          <w:tcPr>
            <w:tcW w:w="504"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54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900" w:type="dxa"/>
            <w:tcBorders>
              <w:bottom w:val="single" w:sz="12" w:space="0" w:color="auto"/>
            </w:tcBorders>
          </w:tcPr>
          <w:p w:rsidR="001449F2" w:rsidRDefault="001449F2">
            <w:pPr>
              <w:ind w:right="-29"/>
              <w:jc w:val="center"/>
              <w:rPr>
                <w:noProof/>
                <w:sz w:val="18"/>
                <w:szCs w:val="18"/>
                <w:lang w:eastAsia="et-EE" w:bidi="et-EE"/>
              </w:rPr>
            </w:pPr>
          </w:p>
        </w:tc>
        <w:tc>
          <w:tcPr>
            <w:tcW w:w="720" w:type="dxa"/>
            <w:gridSpan w:val="2"/>
            <w:tcBorders>
              <w:bottom w:val="single" w:sz="12" w:space="0" w:color="auto"/>
            </w:tcBorders>
          </w:tcPr>
          <w:p w:rsidR="001449F2" w:rsidRDefault="001449F2">
            <w:pPr>
              <w:ind w:right="-29"/>
              <w:jc w:val="center"/>
              <w:rPr>
                <w:noProof/>
                <w:sz w:val="18"/>
                <w:szCs w:val="18"/>
                <w:lang w:eastAsia="et-EE" w:bidi="et-EE"/>
              </w:rPr>
            </w:pPr>
          </w:p>
        </w:tc>
        <w:tc>
          <w:tcPr>
            <w:tcW w:w="540" w:type="dxa"/>
            <w:tcBorders>
              <w:bottom w:val="single" w:sz="12" w:space="0" w:color="auto"/>
            </w:tcBorders>
          </w:tcPr>
          <w:p w:rsidR="001449F2" w:rsidRDefault="001449F2">
            <w:pPr>
              <w:ind w:right="-29"/>
              <w:jc w:val="center"/>
              <w:rPr>
                <w:noProof/>
                <w:sz w:val="18"/>
                <w:szCs w:val="18"/>
                <w:lang w:eastAsia="et-EE" w:bidi="et-EE"/>
              </w:rPr>
            </w:pPr>
          </w:p>
        </w:tc>
        <w:tc>
          <w:tcPr>
            <w:tcW w:w="648" w:type="dxa"/>
            <w:tcBorders>
              <w:bottom w:val="single" w:sz="12" w:space="0" w:color="auto"/>
            </w:tcBorders>
          </w:tcPr>
          <w:p w:rsidR="001449F2" w:rsidRDefault="001449F2">
            <w:pPr>
              <w:ind w:right="-29"/>
              <w:jc w:val="center"/>
              <w:rPr>
                <w:noProof/>
                <w:sz w:val="18"/>
                <w:szCs w:val="18"/>
                <w:lang w:eastAsia="et-EE" w:bidi="et-EE"/>
              </w:rPr>
            </w:pPr>
          </w:p>
        </w:tc>
        <w:tc>
          <w:tcPr>
            <w:tcW w:w="432"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54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900" w:type="dxa"/>
            <w:tcBorders>
              <w:bottom w:val="single" w:sz="12" w:space="0" w:color="auto"/>
            </w:tcBorders>
          </w:tcPr>
          <w:p w:rsidR="001449F2" w:rsidRDefault="001449F2">
            <w:pPr>
              <w:ind w:right="-29"/>
              <w:jc w:val="center"/>
              <w:rPr>
                <w:noProof/>
                <w:sz w:val="18"/>
                <w:szCs w:val="18"/>
                <w:lang w:eastAsia="et-EE" w:bidi="et-EE"/>
              </w:rPr>
            </w:pPr>
          </w:p>
        </w:tc>
      </w:tr>
      <w:tr w:rsidR="001449F2">
        <w:trPr>
          <w:jc w:val="center"/>
        </w:trPr>
        <w:tc>
          <w:tcPr>
            <w:tcW w:w="2844" w:type="dxa"/>
            <w:gridSpan w:val="3"/>
            <w:vAlign w:val="center"/>
          </w:tcPr>
          <w:p w:rsidR="001449F2" w:rsidRDefault="002324A9">
            <w:pPr>
              <w:spacing w:before="60" w:after="60"/>
              <w:ind w:right="-29"/>
              <w:jc w:val="center"/>
              <w:rPr>
                <w:noProof/>
                <w:sz w:val="18"/>
                <w:szCs w:val="18"/>
                <w:lang w:eastAsia="et-EE" w:bidi="et-EE"/>
              </w:rPr>
            </w:pPr>
            <w:r>
              <w:rPr>
                <w:noProof/>
                <w:sz w:val="18"/>
                <w:lang w:eastAsia="et-EE" w:bidi="et-EE"/>
              </w:rPr>
              <w:t>ERIEESMÄRK nr 2</w:t>
            </w:r>
          </w:p>
        </w:tc>
        <w:tc>
          <w:tcPr>
            <w:tcW w:w="504"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54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90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gridSpan w:val="2"/>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54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648"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432"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54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72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c>
          <w:tcPr>
            <w:tcW w:w="900" w:type="dxa"/>
            <w:tcBorders>
              <w:top w:val="nil"/>
              <w:left w:val="nil"/>
              <w:bottom w:val="nil"/>
              <w:right w:val="nil"/>
            </w:tcBorders>
          </w:tcPr>
          <w:p w:rsidR="001449F2" w:rsidRDefault="001449F2">
            <w:pPr>
              <w:spacing w:before="60" w:after="60"/>
              <w:ind w:right="-29"/>
              <w:jc w:val="center"/>
              <w:rPr>
                <w:noProof/>
                <w:sz w:val="18"/>
                <w:szCs w:val="18"/>
                <w:lang w:eastAsia="et-EE" w:bidi="et-EE"/>
              </w:rPr>
            </w:pPr>
          </w:p>
        </w:tc>
      </w:tr>
      <w:tr w:rsidR="001449F2">
        <w:trPr>
          <w:trHeight w:hRule="exact" w:val="369"/>
          <w:jc w:val="center"/>
        </w:trPr>
        <w:tc>
          <w:tcPr>
            <w:tcW w:w="1423" w:type="dxa"/>
          </w:tcPr>
          <w:p w:rsidR="001449F2" w:rsidRDefault="002324A9">
            <w:pPr>
              <w:ind w:right="-29"/>
              <w:jc w:val="center"/>
              <w:rPr>
                <w:noProof/>
                <w:sz w:val="18"/>
                <w:szCs w:val="18"/>
                <w:lang w:eastAsia="et-EE" w:bidi="et-EE"/>
              </w:rPr>
            </w:pPr>
            <w:r>
              <w:rPr>
                <w:noProof/>
                <w:sz w:val="18"/>
                <w:lang w:eastAsia="et-EE" w:bidi="et-EE"/>
              </w:rPr>
              <w:t>- Väljund</w:t>
            </w:r>
          </w:p>
        </w:tc>
        <w:tc>
          <w:tcPr>
            <w:tcW w:w="720" w:type="dxa"/>
          </w:tcPr>
          <w:p w:rsidR="001449F2" w:rsidRDefault="001449F2">
            <w:pPr>
              <w:ind w:right="-29"/>
              <w:jc w:val="center"/>
              <w:rPr>
                <w:noProof/>
                <w:sz w:val="18"/>
                <w:szCs w:val="18"/>
                <w:lang w:eastAsia="et-EE" w:bidi="et-EE"/>
              </w:rPr>
            </w:pPr>
          </w:p>
        </w:tc>
        <w:tc>
          <w:tcPr>
            <w:tcW w:w="701" w:type="dxa"/>
          </w:tcPr>
          <w:p w:rsidR="001449F2" w:rsidRDefault="001449F2">
            <w:pPr>
              <w:ind w:right="-29"/>
              <w:jc w:val="center"/>
              <w:rPr>
                <w:noProof/>
                <w:sz w:val="18"/>
                <w:szCs w:val="18"/>
                <w:lang w:eastAsia="et-EE" w:bidi="et-EE"/>
              </w:rPr>
            </w:pPr>
          </w:p>
        </w:tc>
        <w:tc>
          <w:tcPr>
            <w:tcW w:w="504"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54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900" w:type="dxa"/>
          </w:tcPr>
          <w:p w:rsidR="001449F2" w:rsidRDefault="001449F2">
            <w:pPr>
              <w:ind w:right="-29"/>
              <w:jc w:val="center"/>
              <w:rPr>
                <w:noProof/>
                <w:sz w:val="18"/>
                <w:szCs w:val="18"/>
                <w:lang w:eastAsia="et-EE" w:bidi="et-EE"/>
              </w:rPr>
            </w:pPr>
          </w:p>
        </w:tc>
        <w:tc>
          <w:tcPr>
            <w:tcW w:w="720" w:type="dxa"/>
            <w:gridSpan w:val="2"/>
          </w:tcPr>
          <w:p w:rsidR="001449F2" w:rsidRDefault="001449F2">
            <w:pPr>
              <w:ind w:right="-29"/>
              <w:jc w:val="center"/>
              <w:rPr>
                <w:noProof/>
                <w:sz w:val="18"/>
                <w:szCs w:val="18"/>
                <w:lang w:eastAsia="et-EE" w:bidi="et-EE"/>
              </w:rPr>
            </w:pPr>
          </w:p>
        </w:tc>
        <w:tc>
          <w:tcPr>
            <w:tcW w:w="540" w:type="dxa"/>
          </w:tcPr>
          <w:p w:rsidR="001449F2" w:rsidRDefault="001449F2">
            <w:pPr>
              <w:ind w:right="-29"/>
              <w:jc w:val="center"/>
              <w:rPr>
                <w:noProof/>
                <w:sz w:val="18"/>
                <w:szCs w:val="18"/>
                <w:lang w:eastAsia="et-EE" w:bidi="et-EE"/>
              </w:rPr>
            </w:pPr>
          </w:p>
        </w:tc>
        <w:tc>
          <w:tcPr>
            <w:tcW w:w="648" w:type="dxa"/>
          </w:tcPr>
          <w:p w:rsidR="001449F2" w:rsidRDefault="001449F2">
            <w:pPr>
              <w:ind w:right="-29"/>
              <w:jc w:val="center"/>
              <w:rPr>
                <w:noProof/>
                <w:sz w:val="18"/>
                <w:szCs w:val="18"/>
                <w:lang w:eastAsia="et-EE" w:bidi="et-EE"/>
              </w:rPr>
            </w:pPr>
          </w:p>
        </w:tc>
        <w:tc>
          <w:tcPr>
            <w:tcW w:w="432"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54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720" w:type="dxa"/>
          </w:tcPr>
          <w:p w:rsidR="001449F2" w:rsidRDefault="001449F2">
            <w:pPr>
              <w:ind w:right="-29"/>
              <w:jc w:val="center"/>
              <w:rPr>
                <w:noProof/>
                <w:sz w:val="18"/>
                <w:szCs w:val="18"/>
                <w:lang w:eastAsia="et-EE" w:bidi="et-EE"/>
              </w:rPr>
            </w:pPr>
          </w:p>
        </w:tc>
        <w:tc>
          <w:tcPr>
            <w:tcW w:w="900" w:type="dxa"/>
          </w:tcPr>
          <w:p w:rsidR="001449F2" w:rsidRDefault="001449F2">
            <w:pPr>
              <w:ind w:right="-29"/>
              <w:jc w:val="center"/>
              <w:rPr>
                <w:noProof/>
                <w:sz w:val="18"/>
                <w:szCs w:val="18"/>
                <w:lang w:eastAsia="et-EE" w:bidi="et-EE"/>
              </w:rPr>
            </w:pPr>
          </w:p>
        </w:tc>
      </w:tr>
      <w:tr w:rsidR="001449F2">
        <w:trPr>
          <w:jc w:val="center"/>
        </w:trPr>
        <w:tc>
          <w:tcPr>
            <w:tcW w:w="2844" w:type="dxa"/>
            <w:gridSpan w:val="3"/>
            <w:tcBorders>
              <w:bottom w:val="single" w:sz="12" w:space="0" w:color="auto"/>
            </w:tcBorders>
            <w:vAlign w:val="center"/>
          </w:tcPr>
          <w:p w:rsidR="001449F2" w:rsidRDefault="002324A9">
            <w:pPr>
              <w:jc w:val="center"/>
              <w:rPr>
                <w:noProof/>
                <w:sz w:val="18"/>
                <w:szCs w:val="18"/>
                <w:lang w:eastAsia="et-EE" w:bidi="et-EE"/>
              </w:rPr>
            </w:pPr>
            <w:r>
              <w:rPr>
                <w:noProof/>
                <w:sz w:val="18"/>
                <w:lang w:eastAsia="et-EE" w:bidi="et-EE"/>
              </w:rPr>
              <w:t>Erieesmärk nr 2 kokku</w:t>
            </w:r>
          </w:p>
        </w:tc>
        <w:tc>
          <w:tcPr>
            <w:tcW w:w="504"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54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951" w:type="dxa"/>
            <w:gridSpan w:val="2"/>
            <w:tcBorders>
              <w:bottom w:val="single" w:sz="12" w:space="0" w:color="auto"/>
            </w:tcBorders>
          </w:tcPr>
          <w:p w:rsidR="001449F2" w:rsidRDefault="001449F2">
            <w:pPr>
              <w:ind w:right="-29"/>
              <w:jc w:val="center"/>
              <w:rPr>
                <w:noProof/>
                <w:sz w:val="18"/>
                <w:szCs w:val="18"/>
                <w:lang w:eastAsia="et-EE" w:bidi="et-EE"/>
              </w:rPr>
            </w:pPr>
          </w:p>
        </w:tc>
        <w:tc>
          <w:tcPr>
            <w:tcW w:w="669" w:type="dxa"/>
            <w:tcBorders>
              <w:bottom w:val="single" w:sz="12" w:space="0" w:color="auto"/>
            </w:tcBorders>
          </w:tcPr>
          <w:p w:rsidR="001449F2" w:rsidRDefault="001449F2">
            <w:pPr>
              <w:ind w:right="-29"/>
              <w:jc w:val="center"/>
              <w:rPr>
                <w:noProof/>
                <w:sz w:val="18"/>
                <w:szCs w:val="18"/>
                <w:lang w:eastAsia="et-EE" w:bidi="et-EE"/>
              </w:rPr>
            </w:pPr>
          </w:p>
        </w:tc>
        <w:tc>
          <w:tcPr>
            <w:tcW w:w="540" w:type="dxa"/>
            <w:tcBorders>
              <w:bottom w:val="single" w:sz="12" w:space="0" w:color="auto"/>
            </w:tcBorders>
          </w:tcPr>
          <w:p w:rsidR="001449F2" w:rsidRDefault="001449F2">
            <w:pPr>
              <w:ind w:right="-29"/>
              <w:jc w:val="center"/>
              <w:rPr>
                <w:noProof/>
                <w:sz w:val="18"/>
                <w:szCs w:val="18"/>
                <w:lang w:eastAsia="et-EE" w:bidi="et-EE"/>
              </w:rPr>
            </w:pPr>
          </w:p>
        </w:tc>
        <w:tc>
          <w:tcPr>
            <w:tcW w:w="648" w:type="dxa"/>
            <w:tcBorders>
              <w:bottom w:val="single" w:sz="12" w:space="0" w:color="auto"/>
            </w:tcBorders>
          </w:tcPr>
          <w:p w:rsidR="001449F2" w:rsidRDefault="001449F2">
            <w:pPr>
              <w:ind w:right="-29"/>
              <w:jc w:val="center"/>
              <w:rPr>
                <w:noProof/>
                <w:sz w:val="18"/>
                <w:szCs w:val="18"/>
                <w:lang w:eastAsia="et-EE" w:bidi="et-EE"/>
              </w:rPr>
            </w:pPr>
          </w:p>
        </w:tc>
        <w:tc>
          <w:tcPr>
            <w:tcW w:w="432"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54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720" w:type="dxa"/>
            <w:tcBorders>
              <w:bottom w:val="single" w:sz="12" w:space="0" w:color="auto"/>
            </w:tcBorders>
          </w:tcPr>
          <w:p w:rsidR="001449F2" w:rsidRDefault="001449F2">
            <w:pPr>
              <w:ind w:right="-29"/>
              <w:jc w:val="center"/>
              <w:rPr>
                <w:noProof/>
                <w:sz w:val="18"/>
                <w:szCs w:val="18"/>
                <w:lang w:eastAsia="et-EE" w:bidi="et-EE"/>
              </w:rPr>
            </w:pPr>
          </w:p>
        </w:tc>
        <w:tc>
          <w:tcPr>
            <w:tcW w:w="900" w:type="dxa"/>
            <w:tcBorders>
              <w:bottom w:val="single" w:sz="12" w:space="0" w:color="auto"/>
            </w:tcBorders>
          </w:tcPr>
          <w:p w:rsidR="001449F2" w:rsidRDefault="001449F2">
            <w:pPr>
              <w:ind w:right="-29"/>
              <w:jc w:val="center"/>
              <w:rPr>
                <w:noProof/>
                <w:sz w:val="18"/>
                <w:szCs w:val="18"/>
                <w:lang w:eastAsia="et-EE" w:bidi="et-EE"/>
              </w:rPr>
            </w:pPr>
          </w:p>
        </w:tc>
      </w:tr>
      <w:tr w:rsidR="001449F2">
        <w:trPr>
          <w:jc w:val="center"/>
        </w:trPr>
        <w:tc>
          <w:tcPr>
            <w:tcW w:w="2844" w:type="dxa"/>
            <w:gridSpan w:val="3"/>
            <w:tcBorders>
              <w:top w:val="single" w:sz="12" w:space="0" w:color="auto"/>
              <w:left w:val="single" w:sz="12" w:space="0" w:color="auto"/>
              <w:bottom w:val="single" w:sz="12" w:space="0" w:color="auto"/>
            </w:tcBorders>
            <w:vAlign w:val="center"/>
          </w:tcPr>
          <w:p w:rsidR="001449F2" w:rsidRDefault="002324A9">
            <w:pPr>
              <w:ind w:right="-29"/>
              <w:jc w:val="center"/>
              <w:rPr>
                <w:noProof/>
                <w:sz w:val="18"/>
                <w:szCs w:val="18"/>
                <w:lang w:eastAsia="et-EE" w:bidi="et-EE"/>
              </w:rPr>
            </w:pPr>
            <w:r>
              <w:rPr>
                <w:b/>
                <w:noProof/>
                <w:sz w:val="18"/>
                <w:lang w:eastAsia="et-EE" w:bidi="et-EE"/>
              </w:rPr>
              <w:t>KULUD KOKKU</w:t>
            </w:r>
          </w:p>
        </w:tc>
        <w:tc>
          <w:tcPr>
            <w:tcW w:w="504"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54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90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gridSpan w:val="2"/>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54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648"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432"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54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720" w:type="dxa"/>
            <w:tcBorders>
              <w:top w:val="single" w:sz="12" w:space="0" w:color="auto"/>
              <w:bottom w:val="single" w:sz="12" w:space="0" w:color="auto"/>
            </w:tcBorders>
          </w:tcPr>
          <w:p w:rsidR="001449F2" w:rsidRDefault="001449F2">
            <w:pPr>
              <w:spacing w:before="180" w:after="180"/>
              <w:ind w:right="-29"/>
              <w:jc w:val="center"/>
              <w:rPr>
                <w:noProof/>
                <w:sz w:val="18"/>
                <w:szCs w:val="18"/>
                <w:lang w:eastAsia="et-EE" w:bidi="et-EE"/>
              </w:rPr>
            </w:pPr>
          </w:p>
        </w:tc>
        <w:tc>
          <w:tcPr>
            <w:tcW w:w="900" w:type="dxa"/>
            <w:tcBorders>
              <w:top w:val="single" w:sz="12" w:space="0" w:color="auto"/>
              <w:bottom w:val="single" w:sz="12" w:space="0" w:color="auto"/>
              <w:right w:val="single" w:sz="12" w:space="0" w:color="auto"/>
            </w:tcBorders>
          </w:tcPr>
          <w:p w:rsidR="001449F2" w:rsidRDefault="001449F2">
            <w:pPr>
              <w:spacing w:before="180" w:after="180"/>
              <w:ind w:right="-29"/>
              <w:jc w:val="center"/>
              <w:rPr>
                <w:noProof/>
                <w:sz w:val="18"/>
                <w:szCs w:val="18"/>
                <w:lang w:eastAsia="et-EE" w:bidi="et-EE"/>
              </w:rPr>
            </w:pPr>
          </w:p>
        </w:tc>
      </w:tr>
    </w:tbl>
    <w:p w:rsidR="001449F2" w:rsidRDefault="001449F2">
      <w:pPr>
        <w:spacing w:line="276" w:lineRule="auto"/>
        <w:ind w:left="360"/>
        <w:contextualSpacing/>
        <w:rPr>
          <w:rFonts w:eastAsia="Times New Roman"/>
          <w:b/>
          <w:noProof/>
          <w:sz w:val="18"/>
          <w:szCs w:val="24"/>
          <w:lang w:eastAsia="et-EE" w:bidi="et-EE"/>
        </w:rPr>
      </w:pPr>
    </w:p>
    <w:p w:rsidR="001449F2" w:rsidRDefault="001449F2">
      <w:pPr>
        <w:spacing w:line="276" w:lineRule="auto"/>
        <w:ind w:left="360"/>
        <w:contextualSpacing/>
        <w:rPr>
          <w:rFonts w:eastAsia="Times New Roman"/>
          <w:b/>
          <w:noProof/>
          <w:sz w:val="18"/>
          <w:szCs w:val="24"/>
          <w:lang w:eastAsia="et-EE" w:bidi="et-EE"/>
        </w:rPr>
        <w:sectPr w:rsidR="001449F2" w:rsidSect="002324A9">
          <w:pgSz w:w="16840" w:h="11907" w:orient="landscape" w:code="9"/>
          <w:pgMar w:top="1134" w:right="1418" w:bottom="567" w:left="1418" w:header="709" w:footer="709" w:gutter="0"/>
          <w:cols w:space="708"/>
          <w:docGrid w:linePitch="360"/>
        </w:sectPr>
      </w:pPr>
    </w:p>
    <w:p w:rsidR="001449F2" w:rsidRDefault="002324A9">
      <w:pPr>
        <w:spacing w:line="276" w:lineRule="auto"/>
        <w:ind w:left="360"/>
        <w:contextualSpacing/>
        <w:rPr>
          <w:rFonts w:eastAsia="Times New Roman"/>
          <w:b/>
          <w:noProof/>
          <w:sz w:val="18"/>
          <w:szCs w:val="24"/>
          <w:lang w:eastAsia="et-EE" w:bidi="et-EE"/>
        </w:rPr>
      </w:pPr>
      <w:r>
        <w:rPr>
          <w:rFonts w:eastAsia="Times New Roman"/>
          <w:b/>
          <w:noProof/>
          <w:sz w:val="18"/>
          <w:szCs w:val="24"/>
          <w:lang w:eastAsia="et-EE" w:bidi="et-EE"/>
        </w:rPr>
        <w:lastRenderedPageBreak/>
        <w:t xml:space="preserve">MÄRKUS </w:t>
      </w:r>
    </w:p>
    <w:p w:rsidR="001449F2" w:rsidRDefault="002324A9">
      <w:pPr>
        <w:ind w:left="360"/>
        <w:rPr>
          <w:noProof/>
          <w:sz w:val="20"/>
          <w:szCs w:val="20"/>
          <w:lang w:eastAsia="et-EE" w:bidi="et-EE"/>
        </w:rPr>
      </w:pPr>
      <w:r>
        <w:rPr>
          <w:noProof/>
          <w:sz w:val="20"/>
          <w:lang w:eastAsia="et-EE" w:bidi="et-EE"/>
        </w:rPr>
        <w:t>Käesoleva ettepaneku oodatav positiivne mõju on järgmine: i) liikmesriigid saavad teavet üksuste kohta, mistõttu nad on olukorrast teadlikud ja saavad kohaldada maksuauditeid; ii) avalikkus võib käsitada meedet aktiivse sammuna, mis tagab, et kõik maksumaksjad maksavad õiglase osa maksudest; iii) äriühingud võivad vähendada oma agressiivse maksuplaneerimise struktuure. Kuigi liikmesriikide halduskoormus seoses riikide lõikes esitatavate aruannetega suureneb, on need kulud on tõenäoliselt piiratud, arvestades asjaolu, et aruanded koostavad üksused.</w:t>
      </w:r>
    </w:p>
    <w:p w:rsidR="001449F2" w:rsidRDefault="002324A9">
      <w:pPr>
        <w:pStyle w:val="ManualHeading3"/>
        <w:rPr>
          <w:bCs/>
          <w:noProof/>
          <w:szCs w:val="24"/>
        </w:rPr>
      </w:pPr>
      <w:r>
        <w:rPr>
          <w:noProof/>
        </w:rPr>
        <w:t>3.2.3.</w:t>
      </w:r>
      <w:r>
        <w:rPr>
          <w:noProof/>
        </w:rPr>
        <w:tab/>
      </w:r>
      <w:r>
        <w:rPr>
          <w:noProof/>
          <w:lang w:eastAsia="et-EE" w:bidi="et-EE"/>
        </w:rPr>
        <w:t>Hinnanguline mõju haldusassigneeringutele</w:t>
      </w:r>
    </w:p>
    <w:p w:rsidR="001449F2" w:rsidRDefault="002324A9">
      <w:pPr>
        <w:pStyle w:val="ManualHeading4"/>
        <w:rPr>
          <w:noProof/>
        </w:rPr>
      </w:pPr>
      <w:r>
        <w:rPr>
          <w:noProof/>
        </w:rPr>
        <w:t>3.2.3.1.</w:t>
      </w:r>
      <w:r>
        <w:rPr>
          <w:noProof/>
        </w:rPr>
        <w:tab/>
      </w:r>
      <w:r>
        <w:rPr>
          <w:noProof/>
          <w:lang w:eastAsia="et-EE" w:bidi="et-EE"/>
        </w:rPr>
        <w:t xml:space="preserve">Kokkuvõte </w:t>
      </w:r>
    </w:p>
    <w:p w:rsidR="001449F2" w:rsidRDefault="002324A9">
      <w:pPr>
        <w:pStyle w:val="ListDash1"/>
        <w:rPr>
          <w:noProof/>
          <w:lang w:bidi="et-EE"/>
        </w:rPr>
      </w:pPr>
      <w:r>
        <w:rPr>
          <w:noProof/>
          <w:lang w:bidi="et-EE"/>
        </w:rPr>
        <w:sym w:font="Wingdings" w:char="F0A8"/>
      </w:r>
      <w:r>
        <w:rPr>
          <w:noProof/>
          <w:lang w:bidi="et-EE"/>
        </w:rPr>
        <w:tab/>
        <w:t xml:space="preserve">Ettepanek/algatus ei hõlma haldusassigneeringute kasutamist </w:t>
      </w:r>
    </w:p>
    <w:p w:rsidR="001449F2" w:rsidRDefault="002324A9">
      <w:pPr>
        <w:pStyle w:val="ListDash1"/>
        <w:rPr>
          <w:noProof/>
          <w:lang w:bidi="et-EE"/>
        </w:rPr>
      </w:pPr>
      <w:r>
        <w:rPr>
          <w:noProof/>
          <w:lang w:bidi="et-EE"/>
        </w:rPr>
        <w:sym w:font="Wingdings" w:char="F0FD"/>
      </w:r>
      <w:r>
        <w:rPr>
          <w:noProof/>
          <w:lang w:bidi="et-EE"/>
        </w:rPr>
        <w:tab/>
        <w:t>Ettepanek/algatus hõlmab haldusassigneeringute kasutamist, mis toimub järgmiselt:</w:t>
      </w:r>
    </w:p>
    <w:p w:rsidR="001449F2" w:rsidRDefault="002324A9">
      <w:pPr>
        <w:rPr>
          <w:noProof/>
          <w:sz w:val="20"/>
          <w:lang w:eastAsia="et-EE" w:bidi="et-EE"/>
        </w:rPr>
      </w:pPr>
      <w:r>
        <w:rPr>
          <w:noProof/>
          <w:sz w:val="20"/>
          <w:lang w:eastAsia="et-EE" w:bidi="et-EE"/>
        </w:rPr>
        <w:t>miljonites eurodes (kolm kohta pärast koma)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1449F2">
        <w:trPr>
          <w:trHeight w:val="585"/>
        </w:trPr>
        <w:tc>
          <w:tcPr>
            <w:tcW w:w="1980" w:type="dxa"/>
          </w:tcPr>
          <w:p w:rsidR="001449F2" w:rsidRDefault="001449F2">
            <w:pPr>
              <w:spacing w:before="60" w:after="60" w:line="200" w:lineRule="exact"/>
              <w:rPr>
                <w:noProof/>
                <w:sz w:val="16"/>
                <w:szCs w:val="16"/>
                <w:lang w:eastAsia="et-EE" w:bidi="et-EE"/>
              </w:rPr>
            </w:pPr>
          </w:p>
        </w:tc>
        <w:tc>
          <w:tcPr>
            <w:tcW w:w="1080" w:type="dxa"/>
            <w:vAlign w:val="center"/>
          </w:tcPr>
          <w:p w:rsidR="001449F2" w:rsidRDefault="002324A9">
            <w:pPr>
              <w:spacing w:before="60" w:after="60" w:line="200" w:lineRule="exact"/>
              <w:jc w:val="center"/>
              <w:rPr>
                <w:noProof/>
                <w:sz w:val="16"/>
                <w:szCs w:val="16"/>
                <w:lang w:eastAsia="et-EE" w:bidi="et-EE"/>
              </w:rPr>
            </w:pPr>
            <w:r>
              <w:rPr>
                <w:noProof/>
                <w:sz w:val="16"/>
                <w:lang w:eastAsia="et-EE" w:bidi="et-EE"/>
              </w:rPr>
              <w:t>Aasta</w:t>
            </w:r>
            <w:r>
              <w:rPr>
                <w:noProof/>
                <w:sz w:val="22"/>
                <w:lang w:eastAsia="et-EE" w:bidi="et-EE"/>
              </w:rPr>
              <w:br/>
            </w:r>
            <w:r>
              <w:rPr>
                <w:b/>
                <w:noProof/>
                <w:sz w:val="16"/>
                <w:lang w:eastAsia="et-EE" w:bidi="et-EE"/>
              </w:rPr>
              <w:t xml:space="preserve">N </w:t>
            </w:r>
            <w:r>
              <w:rPr>
                <w:rStyle w:val="FootnoteReference"/>
                <w:noProof/>
              </w:rPr>
              <w:footnoteReference w:id="22"/>
            </w:r>
          </w:p>
        </w:tc>
        <w:tc>
          <w:tcPr>
            <w:tcW w:w="1080" w:type="dxa"/>
            <w:vAlign w:val="center"/>
          </w:tcPr>
          <w:p w:rsidR="001449F2" w:rsidRDefault="002324A9">
            <w:pPr>
              <w:spacing w:before="60" w:after="60" w:line="200" w:lineRule="exact"/>
              <w:jc w:val="center"/>
              <w:rPr>
                <w:noProof/>
                <w:sz w:val="16"/>
                <w:szCs w:val="16"/>
                <w:lang w:eastAsia="et-EE" w:bidi="et-EE"/>
              </w:rPr>
            </w:pPr>
            <w:r>
              <w:rPr>
                <w:noProof/>
                <w:sz w:val="16"/>
                <w:lang w:eastAsia="et-EE" w:bidi="et-EE"/>
              </w:rPr>
              <w:t>Aasta</w:t>
            </w:r>
            <w:r>
              <w:rPr>
                <w:noProof/>
                <w:sz w:val="22"/>
                <w:lang w:eastAsia="et-EE" w:bidi="et-EE"/>
              </w:rPr>
              <w:br/>
            </w:r>
            <w:r>
              <w:rPr>
                <w:b/>
                <w:noProof/>
                <w:sz w:val="16"/>
                <w:lang w:eastAsia="et-EE" w:bidi="et-EE"/>
              </w:rPr>
              <w:t>N+1</w:t>
            </w:r>
          </w:p>
        </w:tc>
        <w:tc>
          <w:tcPr>
            <w:tcW w:w="1080" w:type="dxa"/>
            <w:vAlign w:val="center"/>
          </w:tcPr>
          <w:p w:rsidR="001449F2" w:rsidRDefault="002324A9">
            <w:pPr>
              <w:spacing w:before="60" w:after="60" w:line="200" w:lineRule="exact"/>
              <w:jc w:val="center"/>
              <w:rPr>
                <w:noProof/>
                <w:sz w:val="16"/>
                <w:szCs w:val="16"/>
                <w:lang w:eastAsia="et-EE" w:bidi="et-EE"/>
              </w:rPr>
            </w:pPr>
            <w:r>
              <w:rPr>
                <w:noProof/>
                <w:sz w:val="16"/>
                <w:lang w:eastAsia="et-EE" w:bidi="et-EE"/>
              </w:rPr>
              <w:t>Aasta</w:t>
            </w:r>
            <w:r>
              <w:rPr>
                <w:noProof/>
                <w:sz w:val="22"/>
                <w:lang w:eastAsia="et-EE" w:bidi="et-EE"/>
              </w:rPr>
              <w:br/>
            </w:r>
            <w:r>
              <w:rPr>
                <w:b/>
                <w:noProof/>
                <w:sz w:val="16"/>
                <w:lang w:eastAsia="et-EE" w:bidi="et-EE"/>
              </w:rPr>
              <w:t>N+2</w:t>
            </w:r>
          </w:p>
        </w:tc>
        <w:tc>
          <w:tcPr>
            <w:tcW w:w="1080" w:type="dxa"/>
            <w:vAlign w:val="center"/>
          </w:tcPr>
          <w:p w:rsidR="001449F2" w:rsidRDefault="002324A9">
            <w:pPr>
              <w:spacing w:before="60" w:after="60" w:line="200" w:lineRule="exact"/>
              <w:jc w:val="center"/>
              <w:rPr>
                <w:noProof/>
                <w:sz w:val="16"/>
                <w:szCs w:val="16"/>
                <w:lang w:eastAsia="et-EE" w:bidi="et-EE"/>
              </w:rPr>
            </w:pPr>
            <w:r>
              <w:rPr>
                <w:noProof/>
                <w:sz w:val="16"/>
                <w:lang w:eastAsia="et-EE" w:bidi="et-EE"/>
              </w:rPr>
              <w:t>Aasta</w:t>
            </w:r>
            <w:r>
              <w:rPr>
                <w:noProof/>
                <w:sz w:val="22"/>
                <w:lang w:eastAsia="et-EE" w:bidi="et-EE"/>
              </w:rPr>
              <w:br/>
            </w:r>
            <w:r>
              <w:rPr>
                <w:b/>
                <w:noProof/>
                <w:sz w:val="16"/>
                <w:lang w:eastAsia="et-EE" w:bidi="et-EE"/>
              </w:rPr>
              <w:t>N+3</w:t>
            </w:r>
          </w:p>
        </w:tc>
        <w:tc>
          <w:tcPr>
            <w:tcW w:w="3240" w:type="dxa"/>
            <w:vAlign w:val="center"/>
          </w:tcPr>
          <w:p w:rsidR="001449F2" w:rsidRDefault="002324A9">
            <w:pPr>
              <w:spacing w:line="200" w:lineRule="exact"/>
              <w:jc w:val="center"/>
              <w:rPr>
                <w:b/>
                <w:noProof/>
                <w:sz w:val="16"/>
                <w:szCs w:val="16"/>
                <w:lang w:eastAsia="et-EE" w:bidi="et-EE"/>
              </w:rPr>
            </w:pPr>
            <w:r>
              <w:rPr>
                <w:noProof/>
                <w:sz w:val="16"/>
                <w:lang w:eastAsia="et-EE" w:bidi="et-EE"/>
              </w:rPr>
              <w:t>Lisage vajalik arv aastaid, et kajastada kogu finantsmõju kestust (vt punkt 1.6)</w:t>
            </w:r>
          </w:p>
        </w:tc>
        <w:tc>
          <w:tcPr>
            <w:tcW w:w="1080" w:type="dxa"/>
            <w:vAlign w:val="center"/>
          </w:tcPr>
          <w:p w:rsidR="001449F2" w:rsidRDefault="002324A9">
            <w:pPr>
              <w:spacing w:before="60" w:after="60" w:line="200" w:lineRule="exact"/>
              <w:jc w:val="center"/>
              <w:rPr>
                <w:b/>
                <w:noProof/>
                <w:sz w:val="16"/>
                <w:szCs w:val="16"/>
                <w:lang w:eastAsia="et-EE" w:bidi="et-EE"/>
              </w:rPr>
            </w:pPr>
            <w:r>
              <w:rPr>
                <w:b/>
                <w:noProof/>
                <w:sz w:val="16"/>
                <w:lang w:eastAsia="et-EE" w:bidi="et-EE"/>
              </w:rPr>
              <w:t>KOKKU</w:t>
            </w:r>
          </w:p>
        </w:tc>
      </w:tr>
    </w:tbl>
    <w:p w:rsidR="001449F2" w:rsidRDefault="001449F2">
      <w:pPr>
        <w:spacing w:line="200" w:lineRule="exact"/>
        <w:rPr>
          <w:noProof/>
          <w:sz w:val="16"/>
          <w:szCs w:val="16"/>
          <w:lang w:eastAsia="et-EE" w:bidi="et-E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449F2">
        <w:trPr>
          <w:trHeight w:val="585"/>
        </w:trPr>
        <w:tc>
          <w:tcPr>
            <w:tcW w:w="1980" w:type="dxa"/>
            <w:shd w:val="clear" w:color="auto" w:fill="CCCCCC"/>
            <w:vAlign w:val="center"/>
          </w:tcPr>
          <w:p w:rsidR="001449F2" w:rsidRDefault="002324A9">
            <w:pPr>
              <w:spacing w:before="60" w:after="60" w:line="200" w:lineRule="exact"/>
              <w:jc w:val="center"/>
              <w:rPr>
                <w:b/>
                <w:noProof/>
                <w:sz w:val="16"/>
                <w:szCs w:val="16"/>
                <w:lang w:eastAsia="et-EE" w:bidi="et-EE"/>
              </w:rPr>
            </w:pPr>
            <w:r>
              <w:rPr>
                <w:b/>
                <w:noProof/>
                <w:lang w:eastAsia="et-EE" w:bidi="et-EE"/>
              </w:rPr>
              <w:t>Mitmeaastase finantsraamistiku</w:t>
            </w:r>
            <w:r>
              <w:rPr>
                <w:noProof/>
                <w:lang w:eastAsia="et-EE" w:bidi="et-EE"/>
              </w:rPr>
              <w:br/>
            </w:r>
            <w:r>
              <w:rPr>
                <w:b/>
                <w:noProof/>
                <w:lang w:eastAsia="et-EE" w:bidi="et-EE"/>
              </w:rPr>
              <w:t>RUBRIIK 5</w:t>
            </w: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r w:rsidR="001449F2">
        <w:trPr>
          <w:trHeight w:val="585"/>
        </w:trPr>
        <w:tc>
          <w:tcPr>
            <w:tcW w:w="1980" w:type="dxa"/>
            <w:vAlign w:val="center"/>
          </w:tcPr>
          <w:p w:rsidR="001449F2" w:rsidRDefault="002324A9">
            <w:pPr>
              <w:spacing w:before="60" w:after="60" w:line="200" w:lineRule="exact"/>
              <w:ind w:left="72"/>
              <w:jc w:val="left"/>
              <w:rPr>
                <w:noProof/>
                <w:sz w:val="16"/>
                <w:szCs w:val="16"/>
                <w:lang w:eastAsia="et-EE" w:bidi="et-EE"/>
              </w:rPr>
            </w:pPr>
            <w:r>
              <w:rPr>
                <w:noProof/>
                <w:sz w:val="16"/>
                <w:lang w:eastAsia="et-EE" w:bidi="et-EE"/>
              </w:rPr>
              <w:t xml:space="preserve">Personalikulud </w:t>
            </w:r>
          </w:p>
        </w:tc>
        <w:tc>
          <w:tcPr>
            <w:tcW w:w="1080" w:type="dxa"/>
            <w:vAlign w:val="center"/>
          </w:tcPr>
          <w:p w:rsidR="001449F2" w:rsidRDefault="002324A9">
            <w:pPr>
              <w:spacing w:before="20" w:after="20"/>
              <w:jc w:val="right"/>
              <w:rPr>
                <w:noProof/>
                <w:lang w:eastAsia="et-EE" w:bidi="et-EE"/>
              </w:rPr>
            </w:pPr>
            <w:r>
              <w:rPr>
                <w:noProof/>
                <w:lang w:eastAsia="et-EE" w:bidi="et-EE"/>
              </w:rPr>
              <w:t>0,528</w:t>
            </w:r>
          </w:p>
        </w:tc>
        <w:tc>
          <w:tcPr>
            <w:tcW w:w="1080" w:type="dxa"/>
            <w:vAlign w:val="center"/>
          </w:tcPr>
          <w:p w:rsidR="001449F2" w:rsidRDefault="002324A9">
            <w:pPr>
              <w:spacing w:before="20" w:after="20"/>
              <w:jc w:val="right"/>
              <w:rPr>
                <w:noProof/>
                <w:lang w:eastAsia="et-EE" w:bidi="et-EE"/>
              </w:rPr>
            </w:pPr>
            <w:r>
              <w:rPr>
                <w:noProof/>
                <w:lang w:eastAsia="et-EE" w:bidi="et-EE"/>
              </w:rPr>
              <w:t>0,528</w:t>
            </w:r>
          </w:p>
        </w:tc>
        <w:tc>
          <w:tcPr>
            <w:tcW w:w="1080" w:type="dxa"/>
            <w:vAlign w:val="center"/>
          </w:tcPr>
          <w:p w:rsidR="001449F2" w:rsidRDefault="002324A9">
            <w:pPr>
              <w:spacing w:before="20" w:after="20"/>
              <w:jc w:val="right"/>
              <w:rPr>
                <w:noProof/>
                <w:lang w:eastAsia="et-EE" w:bidi="et-EE"/>
              </w:rPr>
            </w:pPr>
            <w:r>
              <w:rPr>
                <w:noProof/>
                <w:lang w:eastAsia="et-EE" w:bidi="et-EE"/>
              </w:rPr>
              <w:t>0,528</w:t>
            </w:r>
          </w:p>
        </w:tc>
        <w:tc>
          <w:tcPr>
            <w:tcW w:w="1080" w:type="dxa"/>
            <w:vAlign w:val="center"/>
          </w:tcPr>
          <w:p w:rsidR="001449F2" w:rsidRDefault="002324A9">
            <w:pPr>
              <w:spacing w:before="20" w:after="20"/>
              <w:jc w:val="right"/>
              <w:rPr>
                <w:noProof/>
                <w:lang w:eastAsia="et-EE" w:bidi="et-EE"/>
              </w:rPr>
            </w:pPr>
            <w:r>
              <w:rPr>
                <w:noProof/>
                <w:lang w:eastAsia="et-EE" w:bidi="et-EE"/>
              </w:rPr>
              <w:t>0,528</w:t>
            </w:r>
          </w:p>
        </w:tc>
        <w:tc>
          <w:tcPr>
            <w:tcW w:w="1080" w:type="dxa"/>
            <w:vAlign w:val="center"/>
          </w:tcPr>
          <w:p w:rsidR="001449F2" w:rsidRDefault="002324A9">
            <w:pPr>
              <w:spacing w:before="20" w:after="20"/>
              <w:jc w:val="right"/>
              <w:rPr>
                <w:noProof/>
                <w:lang w:eastAsia="et-EE" w:bidi="et-EE"/>
              </w:rPr>
            </w:pPr>
            <w:r>
              <w:rPr>
                <w:noProof/>
                <w:lang w:eastAsia="et-EE" w:bidi="et-EE"/>
              </w:rPr>
              <w:t>0,528</w:t>
            </w:r>
          </w:p>
        </w:tc>
        <w:tc>
          <w:tcPr>
            <w:tcW w:w="1080" w:type="dxa"/>
            <w:vAlign w:val="center"/>
          </w:tcPr>
          <w:p w:rsidR="001449F2" w:rsidRDefault="001449F2">
            <w:pPr>
              <w:spacing w:before="20" w:after="20"/>
              <w:jc w:val="right"/>
              <w:rPr>
                <w:noProof/>
                <w:lang w:eastAsia="et-EE" w:bidi="et-EE"/>
              </w:rPr>
            </w:pPr>
          </w:p>
        </w:tc>
        <w:tc>
          <w:tcPr>
            <w:tcW w:w="1080" w:type="dxa"/>
            <w:vAlign w:val="center"/>
          </w:tcPr>
          <w:p w:rsidR="001449F2" w:rsidRDefault="001449F2">
            <w:pPr>
              <w:spacing w:before="20" w:after="20"/>
              <w:jc w:val="right"/>
              <w:rPr>
                <w:noProof/>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r w:rsidR="001449F2">
        <w:trPr>
          <w:trHeight w:val="585"/>
        </w:trPr>
        <w:tc>
          <w:tcPr>
            <w:tcW w:w="1980" w:type="dxa"/>
            <w:vAlign w:val="center"/>
          </w:tcPr>
          <w:p w:rsidR="001449F2" w:rsidRDefault="002324A9">
            <w:pPr>
              <w:spacing w:before="60" w:after="60" w:line="200" w:lineRule="exact"/>
              <w:ind w:left="72"/>
              <w:jc w:val="left"/>
              <w:rPr>
                <w:noProof/>
                <w:sz w:val="16"/>
                <w:szCs w:val="16"/>
                <w:lang w:eastAsia="et-EE" w:bidi="et-EE"/>
              </w:rPr>
            </w:pPr>
            <w:r>
              <w:rPr>
                <w:noProof/>
                <w:sz w:val="16"/>
                <w:lang w:eastAsia="et-EE" w:bidi="et-EE"/>
              </w:rPr>
              <w:t xml:space="preserve">Muud halduskulud </w:t>
            </w:r>
          </w:p>
        </w:tc>
        <w:tc>
          <w:tcPr>
            <w:tcW w:w="1080" w:type="dxa"/>
            <w:vAlign w:val="center"/>
          </w:tcPr>
          <w:p w:rsidR="001449F2" w:rsidRDefault="002324A9">
            <w:pPr>
              <w:spacing w:before="20" w:after="20"/>
              <w:jc w:val="right"/>
              <w:rPr>
                <w:noProof/>
                <w:lang w:eastAsia="et-EE" w:bidi="et-EE"/>
              </w:rPr>
            </w:pPr>
            <w:r>
              <w:rPr>
                <w:noProof/>
                <w:lang w:eastAsia="et-EE" w:bidi="et-EE"/>
              </w:rPr>
              <w:t>0,030</w:t>
            </w:r>
          </w:p>
        </w:tc>
        <w:tc>
          <w:tcPr>
            <w:tcW w:w="1080" w:type="dxa"/>
            <w:vAlign w:val="center"/>
          </w:tcPr>
          <w:p w:rsidR="001449F2" w:rsidRDefault="002324A9">
            <w:pPr>
              <w:spacing w:before="20" w:after="20"/>
              <w:jc w:val="right"/>
              <w:rPr>
                <w:noProof/>
                <w:lang w:eastAsia="et-EE" w:bidi="et-EE"/>
              </w:rPr>
            </w:pPr>
            <w:r>
              <w:rPr>
                <w:noProof/>
                <w:lang w:eastAsia="et-EE" w:bidi="et-EE"/>
              </w:rPr>
              <w:t>0,030</w:t>
            </w:r>
          </w:p>
        </w:tc>
        <w:tc>
          <w:tcPr>
            <w:tcW w:w="1080" w:type="dxa"/>
            <w:vAlign w:val="center"/>
          </w:tcPr>
          <w:p w:rsidR="001449F2" w:rsidRDefault="002324A9">
            <w:pPr>
              <w:spacing w:before="20" w:after="20"/>
              <w:jc w:val="right"/>
              <w:rPr>
                <w:noProof/>
                <w:lang w:eastAsia="et-EE" w:bidi="et-EE"/>
              </w:rPr>
            </w:pPr>
            <w:r>
              <w:rPr>
                <w:noProof/>
                <w:lang w:eastAsia="et-EE" w:bidi="et-EE"/>
              </w:rPr>
              <w:t>0,030</w:t>
            </w:r>
          </w:p>
        </w:tc>
        <w:tc>
          <w:tcPr>
            <w:tcW w:w="1080" w:type="dxa"/>
            <w:vAlign w:val="center"/>
          </w:tcPr>
          <w:p w:rsidR="001449F2" w:rsidRDefault="002324A9">
            <w:pPr>
              <w:spacing w:before="20" w:after="20"/>
              <w:jc w:val="right"/>
              <w:rPr>
                <w:noProof/>
                <w:lang w:eastAsia="et-EE" w:bidi="et-EE"/>
              </w:rPr>
            </w:pPr>
            <w:r>
              <w:rPr>
                <w:noProof/>
                <w:lang w:eastAsia="et-EE" w:bidi="et-EE"/>
              </w:rPr>
              <w:t>0,030</w:t>
            </w:r>
          </w:p>
        </w:tc>
        <w:tc>
          <w:tcPr>
            <w:tcW w:w="1080" w:type="dxa"/>
            <w:vAlign w:val="center"/>
          </w:tcPr>
          <w:p w:rsidR="001449F2" w:rsidRDefault="002324A9">
            <w:pPr>
              <w:spacing w:before="20" w:after="20"/>
              <w:jc w:val="right"/>
              <w:rPr>
                <w:noProof/>
                <w:lang w:eastAsia="et-EE" w:bidi="et-EE"/>
              </w:rPr>
            </w:pPr>
            <w:r>
              <w:rPr>
                <w:noProof/>
                <w:lang w:eastAsia="et-EE" w:bidi="et-EE"/>
              </w:rPr>
              <w:t>0,030</w:t>
            </w:r>
          </w:p>
        </w:tc>
        <w:tc>
          <w:tcPr>
            <w:tcW w:w="1080" w:type="dxa"/>
            <w:vAlign w:val="center"/>
          </w:tcPr>
          <w:p w:rsidR="001449F2" w:rsidRDefault="001449F2">
            <w:pPr>
              <w:spacing w:before="20" w:after="20"/>
              <w:jc w:val="right"/>
              <w:rPr>
                <w:noProof/>
                <w:lang w:eastAsia="et-EE" w:bidi="et-EE"/>
              </w:rPr>
            </w:pPr>
          </w:p>
        </w:tc>
        <w:tc>
          <w:tcPr>
            <w:tcW w:w="1080" w:type="dxa"/>
            <w:vAlign w:val="center"/>
          </w:tcPr>
          <w:p w:rsidR="001449F2" w:rsidRDefault="001449F2">
            <w:pPr>
              <w:spacing w:before="20" w:after="20"/>
              <w:jc w:val="right"/>
              <w:rPr>
                <w:noProof/>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r w:rsidR="001449F2">
        <w:trPr>
          <w:trHeight w:val="585"/>
        </w:trPr>
        <w:tc>
          <w:tcPr>
            <w:tcW w:w="1980" w:type="dxa"/>
            <w:shd w:val="clear" w:color="auto" w:fill="CCCCCC"/>
            <w:vAlign w:val="center"/>
          </w:tcPr>
          <w:p w:rsidR="001449F2" w:rsidRDefault="002324A9">
            <w:pPr>
              <w:spacing w:before="60" w:after="60" w:line="200" w:lineRule="exact"/>
              <w:jc w:val="center"/>
              <w:rPr>
                <w:b/>
                <w:noProof/>
                <w:sz w:val="16"/>
                <w:szCs w:val="16"/>
                <w:lang w:eastAsia="et-EE" w:bidi="et-EE"/>
              </w:rPr>
            </w:pPr>
            <w:r>
              <w:rPr>
                <w:b/>
                <w:noProof/>
                <w:lang w:eastAsia="et-EE" w:bidi="et-EE"/>
              </w:rPr>
              <w:t>Mitmeaastase finantsraamistiku</w:t>
            </w:r>
            <w:r>
              <w:rPr>
                <w:noProof/>
                <w:lang w:eastAsia="et-EE" w:bidi="et-EE"/>
              </w:rPr>
              <w:br/>
            </w:r>
            <w:r>
              <w:rPr>
                <w:b/>
                <w:noProof/>
                <w:lang w:eastAsia="et-EE" w:bidi="et-EE"/>
              </w:rPr>
              <w:t>RUBRIIGI 5 vahesumma</w:t>
            </w:r>
            <w:r>
              <w:rPr>
                <w:b/>
                <w:noProof/>
                <w:sz w:val="16"/>
                <w:lang w:eastAsia="et-EE" w:bidi="et-EE"/>
              </w:rPr>
              <w:t xml:space="preserve"> </w:t>
            </w:r>
          </w:p>
        </w:tc>
        <w:tc>
          <w:tcPr>
            <w:tcW w:w="1080" w:type="dxa"/>
            <w:vAlign w:val="center"/>
          </w:tcPr>
          <w:p w:rsidR="001449F2" w:rsidRDefault="002324A9">
            <w:pPr>
              <w:spacing w:before="20" w:after="20"/>
              <w:jc w:val="right"/>
              <w:rPr>
                <w:noProof/>
                <w:lang w:eastAsia="et-EE" w:bidi="et-EE"/>
              </w:rPr>
            </w:pPr>
            <w:r>
              <w:rPr>
                <w:noProof/>
                <w:lang w:eastAsia="et-EE" w:bidi="et-EE"/>
              </w:rPr>
              <w:t>0,558</w:t>
            </w:r>
          </w:p>
        </w:tc>
        <w:tc>
          <w:tcPr>
            <w:tcW w:w="1080" w:type="dxa"/>
            <w:vAlign w:val="center"/>
          </w:tcPr>
          <w:p w:rsidR="001449F2" w:rsidRDefault="002324A9">
            <w:pPr>
              <w:spacing w:before="20" w:after="20"/>
              <w:jc w:val="right"/>
              <w:rPr>
                <w:noProof/>
                <w:lang w:eastAsia="et-EE" w:bidi="et-EE"/>
              </w:rPr>
            </w:pPr>
            <w:r>
              <w:rPr>
                <w:noProof/>
                <w:lang w:eastAsia="et-EE" w:bidi="et-EE"/>
              </w:rPr>
              <w:t>0,558</w:t>
            </w:r>
          </w:p>
        </w:tc>
        <w:tc>
          <w:tcPr>
            <w:tcW w:w="1080" w:type="dxa"/>
            <w:vAlign w:val="center"/>
          </w:tcPr>
          <w:p w:rsidR="001449F2" w:rsidRDefault="002324A9">
            <w:pPr>
              <w:spacing w:before="20" w:after="20"/>
              <w:jc w:val="right"/>
              <w:rPr>
                <w:noProof/>
                <w:lang w:eastAsia="et-EE" w:bidi="et-EE"/>
              </w:rPr>
            </w:pPr>
            <w:r>
              <w:rPr>
                <w:noProof/>
                <w:lang w:eastAsia="et-EE" w:bidi="et-EE"/>
              </w:rPr>
              <w:t>0,558</w:t>
            </w:r>
          </w:p>
        </w:tc>
        <w:tc>
          <w:tcPr>
            <w:tcW w:w="1080" w:type="dxa"/>
            <w:vAlign w:val="center"/>
          </w:tcPr>
          <w:p w:rsidR="001449F2" w:rsidRDefault="002324A9">
            <w:pPr>
              <w:spacing w:before="20" w:after="20"/>
              <w:jc w:val="right"/>
              <w:rPr>
                <w:noProof/>
                <w:lang w:eastAsia="et-EE" w:bidi="et-EE"/>
              </w:rPr>
            </w:pPr>
            <w:r>
              <w:rPr>
                <w:noProof/>
                <w:lang w:eastAsia="et-EE" w:bidi="et-EE"/>
              </w:rPr>
              <w:t>0,558</w:t>
            </w:r>
          </w:p>
        </w:tc>
        <w:tc>
          <w:tcPr>
            <w:tcW w:w="1080" w:type="dxa"/>
            <w:vAlign w:val="center"/>
          </w:tcPr>
          <w:p w:rsidR="001449F2" w:rsidRDefault="002324A9">
            <w:pPr>
              <w:spacing w:before="20" w:after="20"/>
              <w:jc w:val="right"/>
              <w:rPr>
                <w:noProof/>
                <w:lang w:eastAsia="et-EE" w:bidi="et-EE"/>
              </w:rPr>
            </w:pPr>
            <w:r>
              <w:rPr>
                <w:noProof/>
                <w:lang w:eastAsia="et-EE" w:bidi="et-EE"/>
              </w:rPr>
              <w:t>0,558</w:t>
            </w:r>
          </w:p>
        </w:tc>
        <w:tc>
          <w:tcPr>
            <w:tcW w:w="1080" w:type="dxa"/>
            <w:vAlign w:val="center"/>
          </w:tcPr>
          <w:p w:rsidR="001449F2" w:rsidRDefault="001449F2">
            <w:pPr>
              <w:spacing w:before="20" w:after="20"/>
              <w:jc w:val="right"/>
              <w:rPr>
                <w:noProof/>
                <w:lang w:eastAsia="et-EE" w:bidi="et-EE"/>
              </w:rPr>
            </w:pPr>
          </w:p>
        </w:tc>
        <w:tc>
          <w:tcPr>
            <w:tcW w:w="1080" w:type="dxa"/>
            <w:vAlign w:val="center"/>
          </w:tcPr>
          <w:p w:rsidR="001449F2" w:rsidRDefault="001449F2">
            <w:pPr>
              <w:spacing w:before="20" w:after="20"/>
              <w:jc w:val="right"/>
              <w:rPr>
                <w:noProof/>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bl>
    <w:p w:rsidR="001449F2" w:rsidRDefault="001449F2">
      <w:pPr>
        <w:spacing w:line="200" w:lineRule="exact"/>
        <w:rPr>
          <w:noProof/>
          <w:sz w:val="16"/>
          <w:szCs w:val="16"/>
          <w:lang w:eastAsia="et-EE" w:bidi="et-E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449F2">
        <w:trPr>
          <w:trHeight w:val="585"/>
        </w:trPr>
        <w:tc>
          <w:tcPr>
            <w:tcW w:w="1980" w:type="dxa"/>
            <w:shd w:val="clear" w:color="auto" w:fill="CCCCCC"/>
            <w:vAlign w:val="center"/>
          </w:tcPr>
          <w:p w:rsidR="001449F2" w:rsidRDefault="002324A9">
            <w:pPr>
              <w:spacing w:before="60" w:after="60" w:line="200" w:lineRule="exact"/>
              <w:jc w:val="center"/>
              <w:rPr>
                <w:noProof/>
                <w:sz w:val="16"/>
                <w:szCs w:val="16"/>
                <w:lang w:eastAsia="et-EE" w:bidi="et-EE"/>
              </w:rPr>
            </w:pPr>
            <w:r>
              <w:rPr>
                <w:b/>
                <w:noProof/>
                <w:lang w:eastAsia="et-EE" w:bidi="et-EE"/>
              </w:rPr>
              <w:t>Mitmeaastase finantsraamistiku RUBRIIGIST 5</w:t>
            </w:r>
            <w:r>
              <w:rPr>
                <w:rStyle w:val="FootnoteReference"/>
                <w:noProof/>
              </w:rPr>
              <w:footnoteReference w:id="23"/>
            </w:r>
            <w:r>
              <w:rPr>
                <w:noProof/>
                <w:lang w:eastAsia="et-EE" w:bidi="et-EE"/>
              </w:rPr>
              <w:br/>
            </w:r>
            <w:r>
              <w:rPr>
                <w:b/>
                <w:noProof/>
                <w:lang w:eastAsia="et-EE" w:bidi="et-EE"/>
              </w:rPr>
              <w:t>välja jäävad kulud kokku</w:t>
            </w:r>
            <w:r>
              <w:rPr>
                <w:b/>
                <w:noProof/>
                <w:sz w:val="16"/>
                <w:lang w:eastAsia="et-EE" w:bidi="et-EE"/>
              </w:rPr>
              <w:t xml:space="preserve"> </w:t>
            </w:r>
          </w:p>
          <w:p w:rsidR="001449F2" w:rsidRDefault="001449F2">
            <w:pPr>
              <w:spacing w:before="0" w:after="0" w:line="200" w:lineRule="exact"/>
              <w:jc w:val="center"/>
              <w:rPr>
                <w:b/>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r w:rsidR="001449F2">
        <w:trPr>
          <w:trHeight w:val="585"/>
        </w:trPr>
        <w:tc>
          <w:tcPr>
            <w:tcW w:w="1980" w:type="dxa"/>
            <w:vAlign w:val="center"/>
          </w:tcPr>
          <w:p w:rsidR="001449F2" w:rsidRDefault="002324A9">
            <w:pPr>
              <w:spacing w:before="60" w:after="60" w:line="200" w:lineRule="exact"/>
              <w:ind w:left="72"/>
              <w:jc w:val="left"/>
              <w:rPr>
                <w:noProof/>
                <w:sz w:val="16"/>
                <w:szCs w:val="16"/>
                <w:lang w:eastAsia="et-EE" w:bidi="et-EE"/>
              </w:rPr>
            </w:pPr>
            <w:r>
              <w:rPr>
                <w:noProof/>
                <w:sz w:val="16"/>
                <w:lang w:eastAsia="et-EE" w:bidi="et-EE"/>
              </w:rPr>
              <w:t xml:space="preserve">Personalikulud </w:t>
            </w: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r w:rsidR="001449F2">
        <w:trPr>
          <w:trHeight w:val="585"/>
        </w:trPr>
        <w:tc>
          <w:tcPr>
            <w:tcW w:w="1980" w:type="dxa"/>
            <w:vAlign w:val="center"/>
          </w:tcPr>
          <w:p w:rsidR="001449F2" w:rsidRDefault="002324A9">
            <w:pPr>
              <w:spacing w:before="60" w:after="60" w:line="200" w:lineRule="exact"/>
              <w:ind w:left="72"/>
              <w:jc w:val="left"/>
              <w:rPr>
                <w:noProof/>
                <w:sz w:val="16"/>
                <w:szCs w:val="16"/>
                <w:lang w:eastAsia="et-EE" w:bidi="et-EE"/>
              </w:rPr>
            </w:pPr>
            <w:r>
              <w:rPr>
                <w:noProof/>
                <w:lang w:eastAsia="et-EE" w:bidi="et-EE"/>
              </w:rPr>
              <w:t>Muud halduskulud</w:t>
            </w: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r w:rsidR="001449F2">
        <w:trPr>
          <w:trHeight w:val="585"/>
        </w:trPr>
        <w:tc>
          <w:tcPr>
            <w:tcW w:w="1980" w:type="dxa"/>
            <w:shd w:val="clear" w:color="auto" w:fill="CCCCCC"/>
            <w:vAlign w:val="center"/>
          </w:tcPr>
          <w:p w:rsidR="001449F2" w:rsidRDefault="002324A9">
            <w:pPr>
              <w:spacing w:before="60" w:after="60" w:line="200" w:lineRule="exact"/>
              <w:jc w:val="center"/>
              <w:rPr>
                <w:b/>
                <w:noProof/>
                <w:sz w:val="16"/>
                <w:szCs w:val="16"/>
                <w:lang w:eastAsia="et-EE" w:bidi="et-EE"/>
              </w:rPr>
            </w:pPr>
            <w:r>
              <w:rPr>
                <w:b/>
                <w:noProof/>
                <w:lang w:eastAsia="et-EE" w:bidi="et-EE"/>
              </w:rPr>
              <w:t>Mitmeaastase finantsraamistiku</w:t>
            </w:r>
            <w:r>
              <w:rPr>
                <w:noProof/>
                <w:lang w:eastAsia="et-EE" w:bidi="et-EE"/>
              </w:rPr>
              <w:br/>
            </w:r>
            <w:r>
              <w:rPr>
                <w:b/>
                <w:noProof/>
                <w:lang w:eastAsia="et-EE" w:bidi="et-EE"/>
              </w:rPr>
              <w:t xml:space="preserve"> RUBRIIGIST 5 </w:t>
            </w:r>
            <w:r>
              <w:rPr>
                <w:b/>
                <w:noProof/>
                <w:lang w:eastAsia="et-EE" w:bidi="et-EE"/>
              </w:rPr>
              <w:lastRenderedPageBreak/>
              <w:t>välja jäävate kulude vahesumma</w:t>
            </w:r>
            <w:r>
              <w:rPr>
                <w:b/>
                <w:noProof/>
                <w:sz w:val="16"/>
                <w:lang w:eastAsia="et-EE" w:bidi="et-EE"/>
              </w:rPr>
              <w:t xml:space="preserve"> </w:t>
            </w: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c>
          <w:tcPr>
            <w:tcW w:w="1080" w:type="dxa"/>
            <w:vAlign w:val="center"/>
          </w:tcPr>
          <w:p w:rsidR="001449F2" w:rsidRDefault="001449F2">
            <w:pPr>
              <w:spacing w:before="60" w:after="60" w:line="200" w:lineRule="exact"/>
              <w:jc w:val="right"/>
              <w:rPr>
                <w:b/>
                <w:noProof/>
                <w:sz w:val="16"/>
                <w:szCs w:val="16"/>
                <w:lang w:eastAsia="et-EE" w:bidi="et-EE"/>
              </w:rPr>
            </w:pPr>
          </w:p>
        </w:tc>
      </w:tr>
    </w:tbl>
    <w:p w:rsidR="001449F2" w:rsidRDefault="001449F2">
      <w:pPr>
        <w:spacing w:line="200" w:lineRule="exact"/>
        <w:rPr>
          <w:noProof/>
          <w:sz w:val="16"/>
          <w:szCs w:val="16"/>
          <w:lang w:eastAsia="et-EE" w:bidi="et-E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449F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449F2" w:rsidRDefault="002324A9">
            <w:pPr>
              <w:spacing w:before="60" w:after="60" w:line="200" w:lineRule="exact"/>
              <w:jc w:val="center"/>
              <w:rPr>
                <w:noProof/>
                <w:sz w:val="16"/>
                <w:szCs w:val="16"/>
                <w:lang w:eastAsia="et-EE" w:bidi="et-EE"/>
              </w:rPr>
            </w:pPr>
            <w:r>
              <w:rPr>
                <w:b/>
                <w:noProof/>
                <w:sz w:val="16"/>
                <w:lang w:eastAsia="et-EE" w:bidi="et-EE"/>
              </w:rPr>
              <w:t>KOKKU</w:t>
            </w:r>
          </w:p>
        </w:tc>
        <w:tc>
          <w:tcPr>
            <w:tcW w:w="1080" w:type="dxa"/>
            <w:tcBorders>
              <w:top w:val="single" w:sz="12" w:space="0" w:color="auto"/>
              <w:left w:val="single" w:sz="2" w:space="0" w:color="auto"/>
              <w:bottom w:val="single" w:sz="12" w:space="0" w:color="auto"/>
              <w:right w:val="single" w:sz="2" w:space="0" w:color="auto"/>
            </w:tcBorders>
            <w:vAlign w:val="center"/>
          </w:tcPr>
          <w:p w:rsidR="001449F2" w:rsidRDefault="002324A9">
            <w:pPr>
              <w:spacing w:before="20" w:after="20"/>
              <w:jc w:val="right"/>
              <w:rPr>
                <w:noProof/>
                <w:lang w:eastAsia="et-EE" w:bidi="et-EE"/>
              </w:rPr>
            </w:pPr>
            <w:r>
              <w:rPr>
                <w:noProof/>
                <w:lang w:eastAsia="et-EE" w:bidi="et-EE"/>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1449F2" w:rsidRDefault="002324A9">
            <w:pPr>
              <w:spacing w:before="20" w:after="20"/>
              <w:jc w:val="right"/>
              <w:rPr>
                <w:noProof/>
                <w:lang w:eastAsia="et-EE" w:bidi="et-EE"/>
              </w:rPr>
            </w:pPr>
            <w:r>
              <w:rPr>
                <w:noProof/>
                <w:lang w:eastAsia="et-EE" w:bidi="et-EE"/>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1449F2" w:rsidRDefault="002324A9">
            <w:pPr>
              <w:spacing w:before="20" w:after="20"/>
              <w:jc w:val="right"/>
              <w:rPr>
                <w:noProof/>
                <w:lang w:eastAsia="et-EE" w:bidi="et-EE"/>
              </w:rPr>
            </w:pPr>
            <w:r>
              <w:rPr>
                <w:noProof/>
                <w:lang w:eastAsia="et-EE" w:bidi="et-EE"/>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1449F2" w:rsidRDefault="002324A9">
            <w:pPr>
              <w:spacing w:before="20" w:after="20"/>
              <w:jc w:val="right"/>
              <w:rPr>
                <w:noProof/>
                <w:lang w:eastAsia="et-EE" w:bidi="et-EE"/>
              </w:rPr>
            </w:pPr>
            <w:r>
              <w:rPr>
                <w:noProof/>
                <w:lang w:eastAsia="et-EE" w:bidi="et-EE"/>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1449F2" w:rsidRDefault="002324A9">
            <w:pPr>
              <w:spacing w:before="20" w:after="20"/>
              <w:jc w:val="right"/>
              <w:rPr>
                <w:noProof/>
                <w:lang w:eastAsia="et-EE" w:bidi="et-EE"/>
              </w:rPr>
            </w:pPr>
            <w:r>
              <w:rPr>
                <w:noProof/>
                <w:lang w:eastAsia="et-EE" w:bidi="et-EE"/>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1449F2" w:rsidRDefault="001449F2">
            <w:pPr>
              <w:spacing w:before="20" w:after="20"/>
              <w:jc w:val="right"/>
              <w:rPr>
                <w:noProof/>
                <w:lang w:eastAsia="et-EE" w:bidi="et-EE"/>
              </w:rPr>
            </w:pPr>
          </w:p>
        </w:tc>
        <w:tc>
          <w:tcPr>
            <w:tcW w:w="1080" w:type="dxa"/>
            <w:tcBorders>
              <w:top w:val="single" w:sz="12" w:space="0" w:color="auto"/>
              <w:left w:val="single" w:sz="2" w:space="0" w:color="auto"/>
              <w:bottom w:val="single" w:sz="12" w:space="0" w:color="auto"/>
              <w:right w:val="single" w:sz="2" w:space="0" w:color="auto"/>
            </w:tcBorders>
            <w:vAlign w:val="center"/>
          </w:tcPr>
          <w:p w:rsidR="001449F2" w:rsidRDefault="001449F2">
            <w:pPr>
              <w:spacing w:before="20" w:after="20"/>
              <w:jc w:val="right"/>
              <w:rPr>
                <w:noProof/>
                <w:lang w:eastAsia="et-EE" w:bidi="et-EE"/>
              </w:rPr>
            </w:pPr>
          </w:p>
        </w:tc>
        <w:tc>
          <w:tcPr>
            <w:tcW w:w="1080" w:type="dxa"/>
            <w:tcBorders>
              <w:top w:val="single" w:sz="12" w:space="0" w:color="auto"/>
              <w:left w:val="single" w:sz="2" w:space="0" w:color="auto"/>
              <w:bottom w:val="single" w:sz="12" w:space="0" w:color="auto"/>
              <w:right w:val="single" w:sz="12" w:space="0" w:color="auto"/>
            </w:tcBorders>
            <w:vAlign w:val="center"/>
          </w:tcPr>
          <w:p w:rsidR="001449F2" w:rsidRDefault="001449F2">
            <w:pPr>
              <w:spacing w:before="60" w:after="60" w:line="200" w:lineRule="exact"/>
              <w:jc w:val="right"/>
              <w:rPr>
                <w:b/>
                <w:noProof/>
                <w:sz w:val="16"/>
                <w:szCs w:val="16"/>
                <w:lang w:eastAsia="et-EE" w:bidi="et-EE"/>
              </w:rPr>
            </w:pPr>
          </w:p>
        </w:tc>
      </w:tr>
    </w:tbl>
    <w:p w:rsidR="001449F2" w:rsidRDefault="002324A9">
      <w:pPr>
        <w:rPr>
          <w:noProof/>
          <w:sz w:val="18"/>
          <w:lang w:eastAsia="et-EE" w:bidi="et-EE"/>
        </w:rPr>
      </w:pPr>
      <w:r>
        <w:rPr>
          <w:noProof/>
          <w:sz w:val="18"/>
          <w:lang w:eastAsia="et-EE" w:bidi="et-EE"/>
        </w:rPr>
        <w:t>Personali ja muude halduskuludega seotud assigneeringute vajadused kaetakse asjaomase peadirektoraadi poolt kõnealuse meetme haldamiseks juba antud ja/või ümberpaigutatud assigneeringute raames, täiendades neid vajaduse korral täiendava te assigneeringutega, mida võidakse anda haldavale peadirektoraadile iga-aastase vahendite eraldamise menetluse käigus, arvestades eelarvepiirangutega.</w:t>
      </w:r>
    </w:p>
    <w:p w:rsidR="001449F2" w:rsidRDefault="001449F2">
      <w:pPr>
        <w:rPr>
          <w:noProof/>
          <w:sz w:val="18"/>
          <w:lang w:eastAsia="et-EE" w:bidi="et-EE"/>
        </w:rPr>
        <w:sectPr w:rsidR="001449F2" w:rsidSect="002324A9">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p>
    <w:p w:rsidR="001449F2" w:rsidRDefault="002324A9">
      <w:pPr>
        <w:pStyle w:val="ManualHeading4"/>
        <w:rPr>
          <w:bCs/>
          <w:noProof/>
          <w:szCs w:val="24"/>
        </w:rPr>
      </w:pPr>
      <w:r>
        <w:rPr>
          <w:noProof/>
        </w:rPr>
        <w:lastRenderedPageBreak/>
        <w:t>3.2.3.2.</w:t>
      </w:r>
      <w:r>
        <w:rPr>
          <w:noProof/>
        </w:rPr>
        <w:tab/>
      </w:r>
      <w:r>
        <w:rPr>
          <w:noProof/>
          <w:lang w:eastAsia="et-EE" w:bidi="et-EE"/>
        </w:rPr>
        <w:t>Hinnanguline personalivajadus</w:t>
      </w:r>
    </w:p>
    <w:p w:rsidR="001449F2" w:rsidRDefault="002324A9">
      <w:pPr>
        <w:pStyle w:val="ListDash1"/>
        <w:rPr>
          <w:noProof/>
          <w:lang w:bidi="et-EE"/>
        </w:rPr>
      </w:pPr>
      <w:r>
        <w:rPr>
          <w:noProof/>
          <w:lang w:bidi="et-EE"/>
        </w:rPr>
        <w:sym w:font="Wingdings" w:char="F0A8"/>
      </w:r>
      <w:r>
        <w:rPr>
          <w:noProof/>
          <w:lang w:bidi="et-EE"/>
        </w:rPr>
        <w:t xml:space="preserve">Ettepanek/algatus ei hõlma personali kasutamist. </w:t>
      </w:r>
    </w:p>
    <w:p w:rsidR="001449F2" w:rsidRDefault="002324A9">
      <w:pPr>
        <w:pStyle w:val="ListDash1"/>
        <w:rPr>
          <w:noProof/>
          <w:lang w:bidi="et-EE"/>
        </w:rPr>
      </w:pPr>
      <w:r>
        <w:rPr>
          <w:noProof/>
          <w:lang w:bidi="et-EE"/>
        </w:rPr>
        <w:sym w:font="Wingdings" w:char="F0FD"/>
      </w:r>
      <w:r>
        <w:rPr>
          <w:noProof/>
          <w:lang w:bidi="et-EE"/>
        </w:rPr>
        <w:t>Ettepanek/algatus hõlmab personali kasutamist, mis toimub järgmiselt:</w:t>
      </w:r>
    </w:p>
    <w:p w:rsidR="001449F2" w:rsidRDefault="002324A9">
      <w:pPr>
        <w:spacing w:after="60"/>
        <w:jc w:val="right"/>
        <w:rPr>
          <w:i/>
          <w:noProof/>
          <w:sz w:val="20"/>
          <w:lang w:eastAsia="et-EE" w:bidi="et-EE"/>
        </w:rPr>
      </w:pPr>
      <w:r>
        <w:rPr>
          <w:i/>
          <w:noProof/>
          <w:sz w:val="20"/>
          <w:lang w:eastAsia="et-EE" w:bidi="et-EE"/>
        </w:rPr>
        <w:t>Hinnanguline väärtus on väljendatud täistööaja ekvivalendina</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1449F2">
        <w:trPr>
          <w:gridBefore w:val="1"/>
          <w:wBefore w:w="6" w:type="pct"/>
          <w:trHeight w:val="289"/>
          <w:jc w:val="center"/>
        </w:trPr>
        <w:tc>
          <w:tcPr>
            <w:tcW w:w="1897" w:type="pct"/>
            <w:gridSpan w:val="2"/>
            <w:shd w:val="clear" w:color="auto" w:fill="auto"/>
          </w:tcPr>
          <w:p w:rsidR="001449F2" w:rsidRDefault="001449F2">
            <w:pPr>
              <w:spacing w:before="40" w:after="40"/>
              <w:jc w:val="center"/>
              <w:rPr>
                <w:i/>
                <w:noProof/>
                <w:sz w:val="16"/>
                <w:szCs w:val="16"/>
                <w:lang w:eastAsia="et-EE" w:bidi="et-EE"/>
              </w:rPr>
            </w:pPr>
          </w:p>
        </w:tc>
        <w:tc>
          <w:tcPr>
            <w:tcW w:w="318" w:type="pct"/>
            <w:shd w:val="clear" w:color="auto" w:fill="auto"/>
            <w:vAlign w:val="center"/>
          </w:tcPr>
          <w:p w:rsidR="001449F2" w:rsidRDefault="002324A9">
            <w:pPr>
              <w:spacing w:before="20" w:after="20"/>
              <w:jc w:val="center"/>
              <w:rPr>
                <w:noProof/>
                <w:sz w:val="16"/>
                <w:szCs w:val="16"/>
                <w:lang w:eastAsia="et-EE" w:bidi="et-EE"/>
              </w:rPr>
            </w:pPr>
            <w:r>
              <w:rPr>
                <w:noProof/>
                <w:sz w:val="16"/>
                <w:lang w:eastAsia="et-EE" w:bidi="et-EE"/>
              </w:rPr>
              <w:t>Aasta</w:t>
            </w:r>
            <w:r>
              <w:rPr>
                <w:noProof/>
                <w:sz w:val="22"/>
                <w:lang w:eastAsia="et-EE" w:bidi="et-EE"/>
              </w:rPr>
              <w:br/>
            </w:r>
            <w:r>
              <w:rPr>
                <w:b/>
                <w:noProof/>
                <w:sz w:val="16"/>
                <w:lang w:eastAsia="et-EE" w:bidi="et-EE"/>
              </w:rPr>
              <w:t>2016</w:t>
            </w:r>
          </w:p>
        </w:tc>
        <w:tc>
          <w:tcPr>
            <w:tcW w:w="318" w:type="pct"/>
            <w:shd w:val="clear" w:color="auto" w:fill="auto"/>
            <w:vAlign w:val="center"/>
          </w:tcPr>
          <w:p w:rsidR="001449F2" w:rsidRDefault="002324A9">
            <w:pPr>
              <w:spacing w:before="20" w:after="20"/>
              <w:jc w:val="center"/>
              <w:rPr>
                <w:noProof/>
                <w:sz w:val="16"/>
                <w:szCs w:val="16"/>
                <w:lang w:eastAsia="et-EE" w:bidi="et-EE"/>
              </w:rPr>
            </w:pPr>
            <w:r>
              <w:rPr>
                <w:noProof/>
                <w:sz w:val="16"/>
                <w:lang w:eastAsia="et-EE" w:bidi="et-EE"/>
              </w:rPr>
              <w:t>Aasta</w:t>
            </w:r>
            <w:r>
              <w:rPr>
                <w:noProof/>
                <w:sz w:val="22"/>
                <w:lang w:eastAsia="et-EE" w:bidi="et-EE"/>
              </w:rPr>
              <w:br/>
            </w:r>
            <w:r>
              <w:rPr>
                <w:b/>
                <w:noProof/>
                <w:sz w:val="16"/>
                <w:lang w:eastAsia="et-EE" w:bidi="et-EE"/>
              </w:rPr>
              <w:t>2017</w:t>
            </w:r>
          </w:p>
        </w:tc>
        <w:tc>
          <w:tcPr>
            <w:tcW w:w="1891" w:type="pct"/>
            <w:shd w:val="clear" w:color="auto" w:fill="auto"/>
            <w:vAlign w:val="center"/>
          </w:tcPr>
          <w:p w:rsidR="001449F2" w:rsidRDefault="002324A9">
            <w:pPr>
              <w:spacing w:before="20" w:after="20"/>
              <w:jc w:val="center"/>
              <w:rPr>
                <w:noProof/>
                <w:sz w:val="16"/>
                <w:szCs w:val="16"/>
                <w:lang w:eastAsia="et-EE" w:bidi="et-EE"/>
              </w:rPr>
            </w:pPr>
            <w:r>
              <w:rPr>
                <w:noProof/>
                <w:sz w:val="16"/>
                <w:lang w:eastAsia="et-EE" w:bidi="et-EE"/>
              </w:rPr>
              <w:t xml:space="preserve">Aasta </w:t>
            </w:r>
            <w:r>
              <w:rPr>
                <w:b/>
                <w:noProof/>
                <w:sz w:val="16"/>
                <w:lang w:eastAsia="et-EE" w:bidi="et-EE"/>
              </w:rPr>
              <w:t>2018</w:t>
            </w:r>
          </w:p>
        </w:tc>
        <w:tc>
          <w:tcPr>
            <w:tcW w:w="226" w:type="pct"/>
            <w:shd w:val="clear" w:color="auto" w:fill="auto"/>
            <w:vAlign w:val="center"/>
          </w:tcPr>
          <w:p w:rsidR="001449F2" w:rsidRDefault="002324A9">
            <w:pPr>
              <w:spacing w:before="20" w:after="20"/>
              <w:jc w:val="center"/>
              <w:rPr>
                <w:noProof/>
                <w:sz w:val="16"/>
                <w:szCs w:val="16"/>
                <w:lang w:eastAsia="et-EE" w:bidi="et-EE"/>
              </w:rPr>
            </w:pPr>
            <w:r>
              <w:rPr>
                <w:noProof/>
                <w:sz w:val="16"/>
                <w:lang w:eastAsia="et-EE" w:bidi="et-EE"/>
              </w:rPr>
              <w:t xml:space="preserve">Aasta </w:t>
            </w:r>
            <w:r>
              <w:rPr>
                <w:b/>
                <w:noProof/>
                <w:sz w:val="16"/>
                <w:lang w:eastAsia="et-EE" w:bidi="et-EE"/>
              </w:rPr>
              <w:t>2019</w:t>
            </w:r>
          </w:p>
        </w:tc>
        <w:tc>
          <w:tcPr>
            <w:tcW w:w="345" w:type="pct"/>
            <w:gridSpan w:val="3"/>
            <w:shd w:val="clear" w:color="auto" w:fill="auto"/>
            <w:vAlign w:val="center"/>
          </w:tcPr>
          <w:p w:rsidR="001449F2" w:rsidRDefault="002324A9">
            <w:pPr>
              <w:jc w:val="center"/>
              <w:rPr>
                <w:b/>
                <w:noProof/>
                <w:sz w:val="16"/>
                <w:szCs w:val="16"/>
                <w:lang w:eastAsia="et-EE" w:bidi="et-EE"/>
              </w:rPr>
            </w:pPr>
            <w:r>
              <w:rPr>
                <w:noProof/>
                <w:sz w:val="16"/>
                <w:lang w:eastAsia="et-EE" w:bidi="et-EE"/>
              </w:rPr>
              <w:t>2020</w:t>
            </w:r>
          </w:p>
        </w:tc>
      </w:tr>
      <w:tr w:rsidR="001449F2">
        <w:trPr>
          <w:gridBefore w:val="1"/>
          <w:wBefore w:w="6" w:type="pct"/>
          <w:trHeight w:val="289"/>
          <w:jc w:val="center"/>
        </w:trPr>
        <w:tc>
          <w:tcPr>
            <w:tcW w:w="4424" w:type="pct"/>
            <w:gridSpan w:val="5"/>
            <w:shd w:val="clear" w:color="auto" w:fill="auto"/>
          </w:tcPr>
          <w:p w:rsidR="001449F2" w:rsidRDefault="002324A9">
            <w:pPr>
              <w:spacing w:before="20" w:after="20"/>
              <w:rPr>
                <w:noProof/>
                <w:sz w:val="16"/>
                <w:szCs w:val="16"/>
                <w:lang w:eastAsia="et-EE" w:bidi="et-EE"/>
              </w:rPr>
            </w:pPr>
            <w:r>
              <w:rPr>
                <w:b/>
                <w:noProof/>
                <w:sz w:val="16"/>
                <w:lang w:eastAsia="et-EE" w:bidi="et-EE"/>
              </w:rPr>
              <w:sym w:font="Wingdings" w:char="F09F"/>
            </w:r>
            <w:r>
              <w:rPr>
                <w:noProof/>
                <w:lang w:eastAsia="et-EE" w:bidi="et-EE"/>
              </w:rPr>
              <w:t xml:space="preserve"> </w:t>
            </w:r>
            <w:r>
              <w:rPr>
                <w:b/>
                <w:noProof/>
                <w:lang w:eastAsia="et-EE" w:bidi="et-EE"/>
              </w:rPr>
              <w:t>Ametikohtade loeteluga ette nähtud ametikohad (ametnikud ja ajutised töötajad)</w:t>
            </w:r>
          </w:p>
        </w:tc>
        <w:tc>
          <w:tcPr>
            <w:tcW w:w="226" w:type="pct"/>
            <w:shd w:val="clear" w:color="auto" w:fill="auto"/>
            <w:vAlign w:val="center"/>
          </w:tcPr>
          <w:p w:rsidR="001449F2" w:rsidRDefault="001449F2">
            <w:pPr>
              <w:spacing w:before="20" w:after="20"/>
              <w:jc w:val="center"/>
              <w:rPr>
                <w:noProof/>
                <w:sz w:val="16"/>
                <w:szCs w:val="16"/>
                <w:lang w:eastAsia="et-EE" w:bidi="et-EE"/>
              </w:rPr>
            </w:pPr>
          </w:p>
        </w:tc>
        <w:tc>
          <w:tcPr>
            <w:tcW w:w="345" w:type="pct"/>
            <w:gridSpan w:val="3"/>
            <w:shd w:val="clear" w:color="auto" w:fill="auto"/>
            <w:vAlign w:val="center"/>
          </w:tcPr>
          <w:p w:rsidR="001449F2" w:rsidRDefault="001449F2">
            <w:pPr>
              <w:jc w:val="center"/>
              <w:rPr>
                <w:noProof/>
                <w:sz w:val="16"/>
                <w:szCs w:val="16"/>
                <w:lang w:eastAsia="et-EE" w:bidi="et-EE"/>
              </w:rPr>
            </w:pP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4"/>
              <w:jc w:val="left"/>
              <w:rPr>
                <w:b/>
                <w:noProof/>
                <w:sz w:val="16"/>
                <w:szCs w:val="16"/>
                <w:lang w:eastAsia="et-EE" w:bidi="et-EE"/>
              </w:rPr>
            </w:pPr>
            <w:r>
              <w:rPr>
                <w:noProof/>
                <w:sz w:val="16"/>
                <w:lang w:eastAsia="et-EE" w:bidi="et-EE"/>
              </w:rPr>
              <w:t>XX 01 01 01 (komisjoni peakorteris ja esindustes)</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4"/>
              <w:jc w:val="left"/>
              <w:rPr>
                <w:noProof/>
                <w:sz w:val="16"/>
                <w:szCs w:val="16"/>
                <w:lang w:eastAsia="et-EE" w:bidi="et-EE"/>
              </w:rPr>
            </w:pPr>
            <w:r>
              <w:rPr>
                <w:noProof/>
                <w:sz w:val="16"/>
                <w:lang w:eastAsia="et-EE" w:bidi="et-EE"/>
              </w:rPr>
              <w:t>XX 01 01 02 (delegatsioonides)</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w:t>
            </w: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4"/>
              <w:jc w:val="left"/>
              <w:rPr>
                <w:noProof/>
                <w:sz w:val="16"/>
                <w:szCs w:val="16"/>
                <w:lang w:eastAsia="et-EE" w:bidi="et-EE"/>
              </w:rPr>
            </w:pPr>
            <w:r>
              <w:rPr>
                <w:noProof/>
                <w:sz w:val="16"/>
                <w:lang w:eastAsia="et-EE" w:bidi="et-EE"/>
              </w:rPr>
              <w:t>XX 01 05 01 (kaudne teadustegevus)</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w:t>
            </w: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4"/>
              <w:jc w:val="left"/>
              <w:rPr>
                <w:noProof/>
                <w:sz w:val="16"/>
                <w:szCs w:val="16"/>
                <w:lang w:eastAsia="et-EE" w:bidi="et-EE"/>
              </w:rPr>
            </w:pPr>
            <w:r>
              <w:rPr>
                <w:noProof/>
                <w:sz w:val="16"/>
                <w:lang w:eastAsia="et-EE" w:bidi="et-EE"/>
              </w:rPr>
              <w:t>10 01 05 01 (otsene teadustegevus)</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w:t>
            </w: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r>
      <w:tr w:rsidR="001449F2">
        <w:trPr>
          <w:gridAfter w:val="4"/>
          <w:wAfter w:w="571" w:type="pct"/>
          <w:trHeight w:val="248"/>
          <w:jc w:val="center"/>
        </w:trPr>
        <w:tc>
          <w:tcPr>
            <w:tcW w:w="4429" w:type="pct"/>
            <w:gridSpan w:val="6"/>
            <w:shd w:val="clear" w:color="auto" w:fill="auto"/>
            <w:vAlign w:val="center"/>
          </w:tcPr>
          <w:p w:rsidR="001449F2" w:rsidRDefault="002324A9">
            <w:pPr>
              <w:spacing w:before="60" w:after="60"/>
              <w:jc w:val="left"/>
              <w:rPr>
                <w:b/>
                <w:noProof/>
                <w:sz w:val="16"/>
                <w:szCs w:val="16"/>
                <w:lang w:eastAsia="et-EE" w:bidi="et-EE"/>
              </w:rPr>
            </w:pPr>
            <w:r>
              <w:rPr>
                <w:b/>
                <w:noProof/>
                <w:sz w:val="16"/>
                <w:lang w:eastAsia="et-EE" w:bidi="et-EE"/>
              </w:rPr>
              <w:sym w:font="Wingdings" w:char="F09F"/>
            </w:r>
            <w:r>
              <w:rPr>
                <w:noProof/>
                <w:lang w:eastAsia="et-EE" w:bidi="et-EE"/>
              </w:rPr>
              <w:t xml:space="preserve"> </w:t>
            </w:r>
            <w:r>
              <w:rPr>
                <w:b/>
                <w:noProof/>
                <w:lang w:eastAsia="et-EE" w:bidi="et-EE"/>
              </w:rPr>
              <w:t>Koosseisuväline personal (täistööajale taandatud töötajad)</w:t>
            </w:r>
            <w:r>
              <w:rPr>
                <w:rStyle w:val="FootnoteReference"/>
                <w:noProof/>
              </w:rPr>
              <w:footnoteReference w:id="24"/>
            </w:r>
          </w:p>
          <w:p w:rsidR="001449F2" w:rsidRDefault="001449F2">
            <w:pPr>
              <w:spacing w:before="0" w:after="0"/>
              <w:jc w:val="left"/>
              <w:rPr>
                <w:noProof/>
                <w:sz w:val="16"/>
                <w:szCs w:val="16"/>
                <w:lang w:eastAsia="et-EE" w:bidi="et-EE"/>
              </w:rPr>
            </w:pP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6"/>
              <w:jc w:val="left"/>
              <w:rPr>
                <w:b/>
                <w:noProof/>
                <w:sz w:val="16"/>
                <w:szCs w:val="16"/>
                <w:lang w:eastAsia="et-EE" w:bidi="et-EE"/>
              </w:rPr>
            </w:pPr>
            <w:r>
              <w:rPr>
                <w:noProof/>
                <w:sz w:val="16"/>
                <w:lang w:eastAsia="et-EE" w:bidi="et-EE"/>
              </w:rPr>
              <w:t>XX 01 02 01 (üldvahenditest rahastatavad lepingulised töötajad, riikide lähetatud eksperdid ja renditud tööjõud)</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6"/>
              <w:jc w:val="left"/>
              <w:rPr>
                <w:noProof/>
                <w:sz w:val="16"/>
                <w:szCs w:val="16"/>
                <w:lang w:eastAsia="et-EE" w:bidi="et-EE"/>
              </w:rPr>
            </w:pPr>
            <w:r>
              <w:rPr>
                <w:noProof/>
                <w:sz w:val="16"/>
                <w:lang w:eastAsia="et-EE" w:bidi="et-EE"/>
              </w:rPr>
              <w:t>XX 01 02 02 (lepingulised töötajad, kohalikud töötajad, riikide lähetatud eksperdid, renditud tööjõud ja noored eksperdid delegatsioonides)</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w:t>
            </w: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r>
      <w:tr w:rsidR="001449F2">
        <w:trPr>
          <w:gridBefore w:val="1"/>
          <w:wBefore w:w="6" w:type="pct"/>
          <w:trHeight w:val="289"/>
          <w:jc w:val="center"/>
        </w:trPr>
        <w:tc>
          <w:tcPr>
            <w:tcW w:w="948" w:type="pct"/>
            <w:vMerge w:val="restart"/>
            <w:shd w:val="clear" w:color="auto" w:fill="auto"/>
            <w:vAlign w:val="center"/>
          </w:tcPr>
          <w:p w:rsidR="001449F2" w:rsidRDefault="002324A9" w:rsidP="00243171">
            <w:pPr>
              <w:spacing w:beforeLines="20" w:before="48" w:afterLines="20" w:after="48"/>
              <w:ind w:left="136"/>
              <w:jc w:val="left"/>
              <w:rPr>
                <w:b/>
                <w:noProof/>
                <w:sz w:val="16"/>
                <w:szCs w:val="16"/>
                <w:lang w:eastAsia="et-EE" w:bidi="et-EE"/>
              </w:rPr>
            </w:pPr>
            <w:r>
              <w:rPr>
                <w:b/>
                <w:noProof/>
                <w:sz w:val="16"/>
                <w:lang w:eastAsia="et-EE" w:bidi="et-EE"/>
              </w:rPr>
              <w:t>XX</w:t>
            </w:r>
            <w:r>
              <w:rPr>
                <w:noProof/>
                <w:sz w:val="16"/>
                <w:lang w:eastAsia="et-EE" w:bidi="et-EE"/>
              </w:rPr>
              <w:t xml:space="preserve"> 01 04 </w:t>
            </w:r>
            <w:r>
              <w:rPr>
                <w:b/>
                <w:noProof/>
                <w:sz w:val="16"/>
                <w:lang w:eastAsia="et-EE" w:bidi="et-EE"/>
              </w:rPr>
              <w:t>aa</w:t>
            </w:r>
            <w:r>
              <w:rPr>
                <w:b/>
                <w:i/>
                <w:noProof/>
                <w:sz w:val="16"/>
                <w:lang w:eastAsia="et-EE" w:bidi="et-EE"/>
              </w:rPr>
              <w:t xml:space="preserve"> </w:t>
            </w:r>
            <w:r>
              <w:rPr>
                <w:rStyle w:val="FootnoteReference"/>
                <w:noProof/>
              </w:rPr>
              <w:footnoteReference w:id="25"/>
            </w:r>
          </w:p>
          <w:p w:rsidR="001449F2" w:rsidRDefault="001449F2" w:rsidP="00243171">
            <w:pPr>
              <w:spacing w:beforeLines="20" w:before="48" w:afterLines="20" w:after="48"/>
              <w:ind w:left="136"/>
              <w:jc w:val="left"/>
              <w:rPr>
                <w:b/>
                <w:noProof/>
                <w:sz w:val="16"/>
                <w:szCs w:val="16"/>
                <w:lang w:eastAsia="et-EE" w:bidi="et-EE"/>
              </w:rPr>
            </w:pPr>
          </w:p>
        </w:tc>
        <w:tc>
          <w:tcPr>
            <w:tcW w:w="949" w:type="pct"/>
            <w:shd w:val="clear" w:color="auto" w:fill="auto"/>
            <w:vAlign w:val="center"/>
          </w:tcPr>
          <w:p w:rsidR="001449F2" w:rsidRDefault="002324A9" w:rsidP="00243171">
            <w:pPr>
              <w:spacing w:beforeLines="20" w:before="48" w:afterLines="20" w:after="48"/>
              <w:ind w:left="136"/>
              <w:jc w:val="left"/>
              <w:rPr>
                <w:b/>
                <w:noProof/>
                <w:sz w:val="16"/>
                <w:szCs w:val="16"/>
                <w:lang w:eastAsia="et-EE" w:bidi="et-EE"/>
              </w:rPr>
            </w:pPr>
            <w:r>
              <w:rPr>
                <w:noProof/>
                <w:sz w:val="16"/>
                <w:lang w:eastAsia="et-EE" w:bidi="et-EE"/>
              </w:rPr>
              <w:t>- peakorteris</w:t>
            </w:r>
          </w:p>
          <w:p w:rsidR="001449F2" w:rsidRDefault="001449F2" w:rsidP="00243171">
            <w:pPr>
              <w:spacing w:beforeLines="20" w:before="48" w:afterLines="20" w:after="48"/>
              <w:ind w:left="136"/>
              <w:jc w:val="left"/>
              <w:rPr>
                <w:b/>
                <w:noProof/>
                <w:sz w:val="16"/>
                <w:szCs w:val="16"/>
                <w:lang w:eastAsia="et-EE" w:bidi="et-EE"/>
              </w:rPr>
            </w:pP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r>
      <w:tr w:rsidR="001449F2">
        <w:trPr>
          <w:gridBefore w:val="1"/>
          <w:wBefore w:w="6" w:type="pct"/>
          <w:trHeight w:val="289"/>
          <w:jc w:val="center"/>
        </w:trPr>
        <w:tc>
          <w:tcPr>
            <w:tcW w:w="948" w:type="pct"/>
            <w:vMerge/>
            <w:shd w:val="clear" w:color="auto" w:fill="auto"/>
            <w:vAlign w:val="center"/>
          </w:tcPr>
          <w:p w:rsidR="001449F2" w:rsidRDefault="001449F2" w:rsidP="00243171">
            <w:pPr>
              <w:spacing w:beforeLines="20" w:before="48" w:afterLines="20" w:after="48"/>
              <w:ind w:left="136"/>
              <w:jc w:val="left"/>
              <w:rPr>
                <w:b/>
                <w:noProof/>
                <w:sz w:val="16"/>
                <w:szCs w:val="16"/>
                <w:lang w:eastAsia="et-EE" w:bidi="et-EE"/>
              </w:rPr>
            </w:pPr>
          </w:p>
        </w:tc>
        <w:tc>
          <w:tcPr>
            <w:tcW w:w="949" w:type="pct"/>
            <w:shd w:val="clear" w:color="auto" w:fill="auto"/>
            <w:vAlign w:val="center"/>
          </w:tcPr>
          <w:p w:rsidR="001449F2" w:rsidRDefault="002324A9" w:rsidP="00243171">
            <w:pPr>
              <w:spacing w:beforeLines="20" w:before="48" w:afterLines="20" w:after="48"/>
              <w:ind w:left="136"/>
              <w:jc w:val="left"/>
              <w:rPr>
                <w:b/>
                <w:noProof/>
                <w:sz w:val="16"/>
                <w:szCs w:val="16"/>
                <w:lang w:eastAsia="et-EE" w:bidi="et-EE"/>
              </w:rPr>
            </w:pPr>
            <w:r>
              <w:rPr>
                <w:noProof/>
                <w:sz w:val="16"/>
                <w:lang w:eastAsia="et-EE" w:bidi="et-EE"/>
              </w:rPr>
              <w:t xml:space="preserve">- delegatsioonides </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w:t>
            </w: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6"/>
              <w:jc w:val="left"/>
              <w:rPr>
                <w:noProof/>
                <w:sz w:val="16"/>
                <w:szCs w:val="16"/>
                <w:lang w:eastAsia="et-EE" w:bidi="et-EE"/>
              </w:rPr>
            </w:pPr>
            <w:r>
              <w:rPr>
                <w:b/>
                <w:noProof/>
                <w:lang w:eastAsia="et-EE" w:bidi="et-EE"/>
              </w:rPr>
              <w:lastRenderedPageBreak/>
              <w:t>XX</w:t>
            </w:r>
            <w:r>
              <w:rPr>
                <w:noProof/>
                <w:lang w:eastAsia="et-EE" w:bidi="et-EE"/>
              </w:rPr>
              <w:t xml:space="preserve"> 01 05 02 (lepingulised töötajad, renditööjõud ja riikide lähetatud eksperdid kaudse teadustegevuse valdkonnas)</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r>
      <w:tr w:rsidR="001449F2">
        <w:trPr>
          <w:gridBefore w:val="1"/>
          <w:wBefore w:w="6" w:type="pct"/>
          <w:trHeight w:val="289"/>
          <w:jc w:val="center"/>
        </w:trPr>
        <w:tc>
          <w:tcPr>
            <w:tcW w:w="1897" w:type="pct"/>
            <w:gridSpan w:val="2"/>
            <w:shd w:val="clear" w:color="auto" w:fill="auto"/>
            <w:vAlign w:val="center"/>
          </w:tcPr>
          <w:p w:rsidR="001449F2" w:rsidRDefault="002324A9" w:rsidP="00243171">
            <w:pPr>
              <w:spacing w:beforeLines="20" w:before="48" w:afterLines="20" w:after="48"/>
              <w:ind w:left="136"/>
              <w:jc w:val="left"/>
              <w:rPr>
                <w:noProof/>
                <w:sz w:val="16"/>
                <w:szCs w:val="16"/>
                <w:lang w:eastAsia="et-EE" w:bidi="et-EE"/>
              </w:rPr>
            </w:pPr>
            <w:r>
              <w:rPr>
                <w:noProof/>
                <w:sz w:val="16"/>
                <w:lang w:eastAsia="et-EE" w:bidi="et-EE"/>
              </w:rPr>
              <w:t>10 01 05 02 (lepingulised töötajad, renditööjõud ja riikide lähetatud eksperdid otsese teadustegevuse valdkonnas)</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c>
          <w:tcPr>
            <w:tcW w:w="115" w:type="pct"/>
            <w:shd w:val="clear" w:color="auto" w:fill="auto"/>
            <w:vAlign w:val="center"/>
          </w:tcPr>
          <w:p w:rsidR="001449F2" w:rsidRDefault="001449F2" w:rsidP="00243171">
            <w:pPr>
              <w:spacing w:beforeLines="20" w:before="48" w:afterLines="20" w:after="48"/>
              <w:jc w:val="center"/>
              <w:rPr>
                <w:noProof/>
                <w:lang w:eastAsia="et-EE" w:bidi="et-EE"/>
              </w:rPr>
            </w:pPr>
          </w:p>
        </w:tc>
      </w:tr>
      <w:tr w:rsidR="001449F2">
        <w:trPr>
          <w:gridBefore w:val="1"/>
          <w:wBefore w:w="6" w:type="pct"/>
          <w:trHeight w:val="289"/>
          <w:jc w:val="center"/>
        </w:trPr>
        <w:tc>
          <w:tcPr>
            <w:tcW w:w="1897" w:type="pct"/>
            <w:gridSpan w:val="2"/>
            <w:tcBorders>
              <w:bottom w:val="double" w:sz="4" w:space="0" w:color="auto"/>
            </w:tcBorders>
            <w:shd w:val="clear" w:color="auto" w:fill="auto"/>
            <w:vAlign w:val="center"/>
          </w:tcPr>
          <w:p w:rsidR="001449F2" w:rsidRDefault="002324A9" w:rsidP="00243171">
            <w:pPr>
              <w:spacing w:beforeLines="20" w:before="48" w:afterLines="20" w:after="48"/>
              <w:ind w:left="134"/>
              <w:jc w:val="left"/>
              <w:rPr>
                <w:noProof/>
                <w:sz w:val="16"/>
                <w:szCs w:val="16"/>
                <w:lang w:eastAsia="et-EE" w:bidi="et-EE"/>
              </w:rPr>
            </w:pPr>
            <w:r>
              <w:rPr>
                <w:noProof/>
                <w:sz w:val="16"/>
                <w:lang w:eastAsia="et-EE" w:bidi="et-EE"/>
              </w:rPr>
              <w:t>Muud eelarveread (täpsustage)</w:t>
            </w:r>
          </w:p>
        </w:tc>
        <w:tc>
          <w:tcPr>
            <w:tcW w:w="318" w:type="pct"/>
            <w:tcBorders>
              <w:bottom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318" w:type="pct"/>
            <w:tcBorders>
              <w:bottom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891" w:type="pct"/>
            <w:tcBorders>
              <w:bottom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226" w:type="pct"/>
            <w:tcBorders>
              <w:bottom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tcBorders>
              <w:bottom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p.m.</w:t>
            </w:r>
          </w:p>
        </w:tc>
        <w:tc>
          <w:tcPr>
            <w:tcW w:w="115" w:type="pct"/>
            <w:tcBorders>
              <w:bottom w:val="double" w:sz="4" w:space="0" w:color="auto"/>
            </w:tcBorders>
            <w:shd w:val="clear" w:color="auto" w:fill="auto"/>
            <w:vAlign w:val="center"/>
          </w:tcPr>
          <w:p w:rsidR="001449F2" w:rsidRDefault="001449F2" w:rsidP="00243171">
            <w:pPr>
              <w:spacing w:beforeLines="20" w:before="48" w:afterLines="20" w:after="48"/>
              <w:jc w:val="center"/>
              <w:rPr>
                <w:noProof/>
                <w:lang w:eastAsia="et-EE" w:bidi="et-EE"/>
              </w:rPr>
            </w:pPr>
          </w:p>
        </w:tc>
        <w:tc>
          <w:tcPr>
            <w:tcW w:w="115" w:type="pct"/>
            <w:tcBorders>
              <w:bottom w:val="double" w:sz="4" w:space="0" w:color="auto"/>
            </w:tcBorders>
            <w:shd w:val="clear" w:color="auto" w:fill="auto"/>
            <w:vAlign w:val="center"/>
          </w:tcPr>
          <w:p w:rsidR="001449F2" w:rsidRDefault="001449F2" w:rsidP="00243171">
            <w:pPr>
              <w:spacing w:beforeLines="20" w:before="48" w:afterLines="20" w:after="48"/>
              <w:jc w:val="center"/>
              <w:rPr>
                <w:noProof/>
                <w:lang w:eastAsia="et-EE" w:bidi="et-EE"/>
              </w:rPr>
            </w:pPr>
          </w:p>
        </w:tc>
      </w:tr>
      <w:tr w:rsidR="001449F2">
        <w:trPr>
          <w:gridBefore w:val="1"/>
          <w:wBefore w:w="6" w:type="pct"/>
          <w:trHeight w:val="289"/>
          <w:jc w:val="center"/>
        </w:trPr>
        <w:tc>
          <w:tcPr>
            <w:tcW w:w="1897" w:type="pct"/>
            <w:gridSpan w:val="2"/>
            <w:tcBorders>
              <w:top w:val="double" w:sz="4" w:space="0" w:color="auto"/>
            </w:tcBorders>
            <w:shd w:val="clear" w:color="auto" w:fill="auto"/>
            <w:vAlign w:val="center"/>
          </w:tcPr>
          <w:p w:rsidR="001449F2" w:rsidRDefault="002324A9" w:rsidP="00243171">
            <w:pPr>
              <w:spacing w:beforeLines="20" w:before="48" w:afterLines="20" w:after="48"/>
              <w:ind w:left="136"/>
              <w:jc w:val="left"/>
              <w:rPr>
                <w:noProof/>
                <w:sz w:val="16"/>
                <w:szCs w:val="16"/>
                <w:lang w:eastAsia="et-EE" w:bidi="et-EE"/>
              </w:rPr>
            </w:pPr>
            <w:r>
              <w:rPr>
                <w:b/>
                <w:noProof/>
                <w:sz w:val="16"/>
                <w:lang w:eastAsia="et-EE" w:bidi="et-EE"/>
              </w:rPr>
              <w:t>KOKKU</w:t>
            </w:r>
          </w:p>
        </w:tc>
        <w:tc>
          <w:tcPr>
            <w:tcW w:w="318" w:type="pct"/>
            <w:tcBorders>
              <w:top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318" w:type="pct"/>
            <w:tcBorders>
              <w:top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1891" w:type="pct"/>
            <w:tcBorders>
              <w:top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226" w:type="pct"/>
            <w:tcBorders>
              <w:top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115" w:type="pct"/>
            <w:tcBorders>
              <w:top w:val="double" w:sz="4" w:space="0" w:color="auto"/>
            </w:tcBorders>
            <w:shd w:val="clear" w:color="auto" w:fill="auto"/>
            <w:vAlign w:val="center"/>
          </w:tcPr>
          <w:p w:rsidR="001449F2" w:rsidRDefault="002324A9" w:rsidP="00243171">
            <w:pPr>
              <w:spacing w:beforeLines="20" w:before="48" w:afterLines="20" w:after="48"/>
              <w:jc w:val="center"/>
              <w:rPr>
                <w:noProof/>
                <w:lang w:eastAsia="et-EE" w:bidi="et-EE"/>
              </w:rPr>
            </w:pPr>
            <w:r>
              <w:rPr>
                <w:noProof/>
                <w:lang w:eastAsia="et-EE" w:bidi="et-EE"/>
              </w:rPr>
              <w:t>4</w:t>
            </w:r>
          </w:p>
        </w:tc>
        <w:tc>
          <w:tcPr>
            <w:tcW w:w="115" w:type="pct"/>
            <w:tcBorders>
              <w:top w:val="double" w:sz="4" w:space="0" w:color="auto"/>
            </w:tcBorders>
            <w:shd w:val="clear" w:color="auto" w:fill="auto"/>
            <w:vAlign w:val="center"/>
          </w:tcPr>
          <w:p w:rsidR="001449F2" w:rsidRDefault="001449F2" w:rsidP="00243171">
            <w:pPr>
              <w:spacing w:beforeLines="20" w:before="48" w:afterLines="20" w:after="48"/>
              <w:jc w:val="center"/>
              <w:rPr>
                <w:noProof/>
                <w:lang w:eastAsia="et-EE" w:bidi="et-EE"/>
              </w:rPr>
            </w:pPr>
          </w:p>
        </w:tc>
        <w:tc>
          <w:tcPr>
            <w:tcW w:w="115" w:type="pct"/>
            <w:tcBorders>
              <w:top w:val="double" w:sz="4" w:space="0" w:color="auto"/>
            </w:tcBorders>
            <w:shd w:val="clear" w:color="auto" w:fill="auto"/>
            <w:vAlign w:val="center"/>
          </w:tcPr>
          <w:p w:rsidR="001449F2" w:rsidRDefault="001449F2" w:rsidP="00243171">
            <w:pPr>
              <w:spacing w:beforeLines="20" w:before="48" w:afterLines="20" w:after="48"/>
              <w:jc w:val="center"/>
              <w:rPr>
                <w:noProof/>
                <w:lang w:eastAsia="et-EE" w:bidi="et-EE"/>
              </w:rPr>
            </w:pPr>
          </w:p>
        </w:tc>
      </w:tr>
    </w:tbl>
    <w:p w:rsidR="001449F2" w:rsidRDefault="002324A9">
      <w:pPr>
        <w:pStyle w:val="Text1"/>
        <w:rPr>
          <w:noProof/>
          <w:sz w:val="18"/>
          <w:szCs w:val="18"/>
          <w:lang w:eastAsia="et-EE" w:bidi="et-EE"/>
        </w:rPr>
      </w:pPr>
      <w:r>
        <w:rPr>
          <w:b/>
          <w:noProof/>
          <w:lang w:eastAsia="et-EE" w:bidi="et-EE"/>
        </w:rPr>
        <w:t>XX</w:t>
      </w:r>
      <w:r>
        <w:rPr>
          <w:noProof/>
          <w:lang w:eastAsia="et-EE" w:bidi="et-EE"/>
        </w:rPr>
        <w:t xml:space="preserve"> osutab asjaomasele poliitikavaldkonnale või eelarvejaotisele.</w:t>
      </w:r>
    </w:p>
    <w:p w:rsidR="001449F2" w:rsidRDefault="002324A9">
      <w:pPr>
        <w:pStyle w:val="Text1"/>
        <w:rPr>
          <w:noProof/>
          <w:sz w:val="18"/>
          <w:szCs w:val="18"/>
          <w:lang w:eastAsia="et-EE" w:bidi="et-EE"/>
        </w:rPr>
      </w:pPr>
      <w:r>
        <w:rPr>
          <w:noProof/>
          <w:sz w:val="18"/>
          <w:lang w:eastAsia="et-EE" w:bidi="et-EE"/>
        </w:rPr>
        <w:t>Personalivajadused kaetakse haldavale peadirektoraadile juba jaotatud ja/või peadirektoraadis ümberpaigutatud vahenditest, vajaduse korral koos lisaeraldistega, mis võidakse meedet juhtivale peadirektoraadile anda iga-aastase vahendite eraldamise protseduuri raames, võttes arvesse eelarvepiiranguid.</w:t>
      </w:r>
    </w:p>
    <w:p w:rsidR="001449F2" w:rsidRDefault="002324A9">
      <w:pPr>
        <w:rPr>
          <w:noProof/>
          <w:sz w:val="20"/>
          <w:lang w:eastAsia="et-EE" w:bidi="et-EE"/>
        </w:rPr>
      </w:pPr>
      <w:r>
        <w:rPr>
          <w:noProof/>
          <w:sz w:val="20"/>
          <w:lang w:eastAsia="et-EE" w:bidi="et-EE"/>
        </w:rPr>
        <w:t>Ülesannete kirjeldus: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449F2">
        <w:tc>
          <w:tcPr>
            <w:tcW w:w="3240" w:type="dxa"/>
          </w:tcPr>
          <w:p w:rsidR="001449F2" w:rsidRDefault="002324A9">
            <w:pPr>
              <w:rPr>
                <w:noProof/>
                <w:sz w:val="20"/>
                <w:lang w:eastAsia="et-EE" w:bidi="et-EE"/>
              </w:rPr>
            </w:pPr>
            <w:r>
              <w:rPr>
                <w:noProof/>
                <w:sz w:val="20"/>
                <w:lang w:eastAsia="et-EE" w:bidi="et-EE"/>
              </w:rPr>
              <w:t>Ametnikud ja ajutine personal</w:t>
            </w:r>
          </w:p>
        </w:tc>
        <w:tc>
          <w:tcPr>
            <w:tcW w:w="7200" w:type="dxa"/>
          </w:tcPr>
          <w:p w:rsidR="001449F2" w:rsidRDefault="002324A9">
            <w:pPr>
              <w:rPr>
                <w:noProof/>
                <w:sz w:val="20"/>
                <w:lang w:eastAsia="et-EE" w:bidi="et-EE"/>
              </w:rPr>
            </w:pPr>
            <w:r>
              <w:rPr>
                <w:noProof/>
                <w:sz w:val="20"/>
                <w:lang w:eastAsia="et-EE" w:bidi="et-EE"/>
              </w:rPr>
              <w:t>Koosolekute ettevalmistamine ja kirjavahetus liikmesriikidega; (sõltuvalt liikmesriikidega toimuvatest aruteludest) töö vormide, IT-vormingute ja keskregistriga; välistelt töövõtjatelt IT-süsteemiga seotud töö tellimine</w:t>
            </w:r>
          </w:p>
        </w:tc>
      </w:tr>
      <w:tr w:rsidR="001449F2">
        <w:tc>
          <w:tcPr>
            <w:tcW w:w="3240" w:type="dxa"/>
          </w:tcPr>
          <w:p w:rsidR="001449F2" w:rsidRDefault="002324A9">
            <w:pPr>
              <w:spacing w:before="60" w:after="60"/>
              <w:rPr>
                <w:noProof/>
                <w:sz w:val="20"/>
                <w:lang w:eastAsia="et-EE" w:bidi="et-EE"/>
              </w:rPr>
            </w:pPr>
            <w:r>
              <w:rPr>
                <w:noProof/>
                <w:sz w:val="20"/>
                <w:lang w:eastAsia="et-EE" w:bidi="et-EE"/>
              </w:rPr>
              <w:t>Koosseisuvälised töötajad</w:t>
            </w:r>
          </w:p>
        </w:tc>
        <w:tc>
          <w:tcPr>
            <w:tcW w:w="7200" w:type="dxa"/>
          </w:tcPr>
          <w:p w:rsidR="001449F2" w:rsidRDefault="002324A9">
            <w:pPr>
              <w:rPr>
                <w:noProof/>
                <w:sz w:val="20"/>
                <w:lang w:eastAsia="et-EE" w:bidi="et-EE"/>
              </w:rPr>
            </w:pPr>
            <w:r>
              <w:rPr>
                <w:noProof/>
                <w:sz w:val="20"/>
                <w:lang w:eastAsia="et-EE" w:bidi="et-EE"/>
              </w:rPr>
              <w:t>Ei kohaldata</w:t>
            </w:r>
          </w:p>
        </w:tc>
      </w:tr>
    </w:tbl>
    <w:p w:rsidR="001449F2" w:rsidRDefault="001449F2">
      <w:pPr>
        <w:rPr>
          <w:noProof/>
          <w:lang w:eastAsia="et-EE" w:bidi="et-EE"/>
        </w:rPr>
        <w:sectPr w:rsidR="001449F2" w:rsidSect="002324A9">
          <w:pgSz w:w="11907" w:h="16840"/>
          <w:pgMar w:top="1134" w:right="1418" w:bottom="1134" w:left="1418" w:header="709" w:footer="709" w:gutter="0"/>
          <w:cols w:space="708"/>
          <w:docGrid w:linePitch="360"/>
        </w:sectPr>
      </w:pPr>
    </w:p>
    <w:p w:rsidR="001449F2" w:rsidRDefault="002324A9">
      <w:pPr>
        <w:pStyle w:val="ManualHeading3"/>
        <w:rPr>
          <w:bCs/>
          <w:noProof/>
          <w:szCs w:val="24"/>
        </w:rPr>
      </w:pPr>
      <w:r>
        <w:rPr>
          <w:noProof/>
        </w:rPr>
        <w:lastRenderedPageBreak/>
        <w:t>3.2.4.</w:t>
      </w:r>
      <w:r>
        <w:rPr>
          <w:noProof/>
        </w:rPr>
        <w:tab/>
      </w:r>
      <w:r>
        <w:rPr>
          <w:noProof/>
          <w:lang w:eastAsia="et-EE" w:bidi="et-EE"/>
        </w:rPr>
        <w:t xml:space="preserve">Kooskõla kehtiva mitmeaastase finantsraamistikuga </w:t>
      </w:r>
    </w:p>
    <w:p w:rsidR="001449F2" w:rsidRDefault="002324A9">
      <w:pPr>
        <w:pStyle w:val="ListDash1"/>
        <w:rPr>
          <w:noProof/>
          <w:lang w:bidi="et-EE"/>
        </w:rPr>
      </w:pPr>
      <w:r>
        <w:rPr>
          <w:noProof/>
          <w:lang w:bidi="et-EE"/>
        </w:rPr>
        <w:sym w:font="Wingdings" w:char="F0FD"/>
      </w:r>
      <w:r>
        <w:rPr>
          <w:noProof/>
          <w:lang w:bidi="et-EE"/>
        </w:rPr>
        <w:t>Ettepanek/algatus on kooskõlas kehtiva mitmeaastase finantsraamistikuga.</w:t>
      </w:r>
    </w:p>
    <w:p w:rsidR="001449F2" w:rsidRDefault="002324A9">
      <w:pPr>
        <w:pStyle w:val="ListDash1"/>
        <w:rPr>
          <w:noProof/>
          <w:lang w:bidi="et-EE"/>
        </w:rPr>
      </w:pPr>
      <w:r>
        <w:rPr>
          <w:noProof/>
          <w:lang w:bidi="et-EE"/>
        </w:rPr>
        <w:sym w:font="Wingdings" w:char="F0A8"/>
      </w:r>
      <w:r>
        <w:rPr>
          <w:noProof/>
          <w:lang w:bidi="et-EE"/>
        </w:rPr>
        <w:t>Ettepanekuga/algatusega kaasneb mitmeaastase finantsraamistiku asjaomase rubriigi ümberplaneerimine.</w:t>
      </w:r>
    </w:p>
    <w:p w:rsidR="001449F2" w:rsidRDefault="002324A9">
      <w:pPr>
        <w:pStyle w:val="Tex1"/>
        <w:rPr>
          <w:noProof/>
          <w:lang w:eastAsia="et-EE" w:bidi="et-EE"/>
        </w:rPr>
      </w:pPr>
      <w:r>
        <w:rPr>
          <w:noProof/>
          <w:lang w:eastAsia="et-EE" w:bidi="et-EE"/>
        </w:rPr>
        <w:t>Selgitage ümberplaneerimist, osutades asjaomastele rubriikidele, eelarveridadele ja summadele.</w:t>
      </w:r>
    </w:p>
    <w:p w:rsidR="001449F2" w:rsidRDefault="002324A9">
      <w:pPr>
        <w:pStyle w:val="ListDash1"/>
        <w:rPr>
          <w:noProof/>
          <w:lang w:bidi="et-EE"/>
        </w:rPr>
      </w:pPr>
      <w:r>
        <w:rPr>
          <w:noProof/>
          <w:lang w:bidi="et-EE"/>
        </w:rPr>
        <w:sym w:font="Wingdings" w:char="F0A8"/>
      </w:r>
      <w:r>
        <w:rPr>
          <w:noProof/>
          <w:lang w:bidi="et-EE"/>
        </w:rPr>
        <w:t>Ettepanek/algatus eeldab paindlikkusinstrumendi kohaldamist või mitmeaastase finantsraamistiku läbivaatamist.</w:t>
      </w:r>
    </w:p>
    <w:p w:rsidR="001449F2" w:rsidRDefault="002324A9">
      <w:pPr>
        <w:pStyle w:val="Tex1"/>
        <w:rPr>
          <w:noProof/>
          <w:lang w:eastAsia="et-EE" w:bidi="et-EE"/>
        </w:rPr>
      </w:pPr>
      <w:r>
        <w:rPr>
          <w:noProof/>
          <w:lang w:eastAsia="et-EE" w:bidi="et-EE"/>
        </w:rPr>
        <w:t>Selgitage ümberplaneerimist, osutades asjaomastele rubriikidele, eelarveridadele ja summadele.</w:t>
      </w:r>
    </w:p>
    <w:p w:rsidR="001449F2" w:rsidRDefault="002324A9">
      <w:pPr>
        <w:pStyle w:val="ManualHeading3"/>
        <w:rPr>
          <w:bCs/>
          <w:noProof/>
          <w:szCs w:val="24"/>
        </w:rPr>
      </w:pPr>
      <w:r>
        <w:rPr>
          <w:noProof/>
        </w:rPr>
        <w:t>3.2.5.</w:t>
      </w:r>
      <w:r>
        <w:rPr>
          <w:noProof/>
        </w:rPr>
        <w:tab/>
      </w:r>
      <w:r>
        <w:rPr>
          <w:noProof/>
          <w:lang w:eastAsia="et-EE" w:bidi="et-EE"/>
        </w:rPr>
        <w:t xml:space="preserve">Kolmandate isikute rahaline osalus </w:t>
      </w:r>
    </w:p>
    <w:p w:rsidR="001449F2" w:rsidRDefault="002324A9">
      <w:pPr>
        <w:pStyle w:val="ListDash1"/>
        <w:rPr>
          <w:noProof/>
          <w:lang w:bidi="et-EE"/>
        </w:rPr>
      </w:pPr>
      <w:r>
        <w:rPr>
          <w:noProof/>
          <w:lang w:bidi="et-EE"/>
        </w:rPr>
        <w:t xml:space="preserve">Ettepanek/algatus ei hõlma kolmandate isikute poolset kaasrahastamist. </w:t>
      </w:r>
    </w:p>
    <w:p w:rsidR="001449F2" w:rsidRDefault="002324A9">
      <w:pPr>
        <w:pStyle w:val="ListDash1"/>
        <w:rPr>
          <w:noProof/>
          <w:lang w:bidi="et-EE"/>
        </w:rPr>
      </w:pPr>
      <w:r>
        <w:rPr>
          <w:strike/>
          <w:noProof/>
          <w:lang w:bidi="et-EE"/>
        </w:rPr>
        <w:t>Ettepanek/algatus hõlmab kaasrahastamist, mille hinnanguline summa on järgmine</w:t>
      </w:r>
      <w:r>
        <w:rPr>
          <w:noProof/>
          <w:lang w:bidi="et-EE"/>
        </w:rPr>
        <w:t>:</w:t>
      </w:r>
    </w:p>
    <w:p w:rsidR="001449F2" w:rsidRDefault="002324A9">
      <w:pPr>
        <w:jc w:val="right"/>
        <w:rPr>
          <w:noProof/>
          <w:sz w:val="20"/>
          <w:lang w:eastAsia="et-EE" w:bidi="et-EE"/>
        </w:rPr>
      </w:pPr>
      <w:r>
        <w:rPr>
          <w:noProof/>
          <w:sz w:val="20"/>
          <w:lang w:eastAsia="et-EE" w:bidi="et-EE"/>
        </w:rPr>
        <w:t>assigneeringud miljonites eurodes (kolm kohta pärast koma)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449F2">
        <w:trPr>
          <w:cantSplit/>
        </w:trPr>
        <w:tc>
          <w:tcPr>
            <w:tcW w:w="2340" w:type="dxa"/>
          </w:tcPr>
          <w:p w:rsidR="001449F2" w:rsidRDefault="001449F2">
            <w:pPr>
              <w:spacing w:before="60" w:after="60"/>
              <w:rPr>
                <w:noProof/>
                <w:sz w:val="20"/>
                <w:lang w:eastAsia="et-EE" w:bidi="et-EE"/>
              </w:rPr>
            </w:pPr>
          </w:p>
        </w:tc>
        <w:tc>
          <w:tcPr>
            <w:tcW w:w="964"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N</w:t>
            </w:r>
          </w:p>
        </w:tc>
        <w:tc>
          <w:tcPr>
            <w:tcW w:w="964"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N+1</w:t>
            </w:r>
          </w:p>
        </w:tc>
        <w:tc>
          <w:tcPr>
            <w:tcW w:w="964"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N+2</w:t>
            </w:r>
          </w:p>
        </w:tc>
        <w:tc>
          <w:tcPr>
            <w:tcW w:w="964" w:type="dxa"/>
            <w:vAlign w:val="center"/>
          </w:tcPr>
          <w:p w:rsidR="001449F2" w:rsidRDefault="002324A9">
            <w:pPr>
              <w:jc w:val="center"/>
              <w:rPr>
                <w:noProof/>
                <w:sz w:val="20"/>
                <w:lang w:eastAsia="et-EE" w:bidi="et-EE"/>
              </w:rPr>
            </w:pPr>
            <w:r>
              <w:rPr>
                <w:noProof/>
                <w:sz w:val="20"/>
                <w:lang w:eastAsia="et-EE" w:bidi="et-EE"/>
              </w:rPr>
              <w:t>Aasta</w:t>
            </w:r>
            <w:r>
              <w:rPr>
                <w:noProof/>
                <w:sz w:val="22"/>
                <w:lang w:eastAsia="et-EE" w:bidi="et-EE"/>
              </w:rPr>
              <w:br/>
            </w:r>
            <w:r>
              <w:rPr>
                <w:b/>
                <w:noProof/>
                <w:sz w:val="20"/>
                <w:lang w:eastAsia="et-EE" w:bidi="et-EE"/>
              </w:rPr>
              <w:t>N+3</w:t>
            </w:r>
          </w:p>
        </w:tc>
        <w:tc>
          <w:tcPr>
            <w:tcW w:w="2892" w:type="dxa"/>
            <w:gridSpan w:val="3"/>
            <w:vAlign w:val="center"/>
          </w:tcPr>
          <w:p w:rsidR="001449F2" w:rsidRDefault="002324A9">
            <w:pPr>
              <w:jc w:val="center"/>
              <w:rPr>
                <w:b/>
                <w:noProof/>
                <w:sz w:val="20"/>
                <w:lang w:eastAsia="et-EE" w:bidi="et-EE"/>
              </w:rPr>
            </w:pPr>
            <w:r>
              <w:rPr>
                <w:noProof/>
                <w:sz w:val="20"/>
                <w:lang w:eastAsia="et-EE" w:bidi="et-EE"/>
              </w:rPr>
              <w:t>Lisage vajalik arv aastaid, et kajastada kogu finantsmõju kestust (vt punkt 1.6)</w:t>
            </w:r>
          </w:p>
        </w:tc>
        <w:tc>
          <w:tcPr>
            <w:tcW w:w="1158" w:type="dxa"/>
            <w:vAlign w:val="center"/>
          </w:tcPr>
          <w:p w:rsidR="001449F2" w:rsidRDefault="002324A9">
            <w:pPr>
              <w:spacing w:before="60" w:after="60"/>
              <w:jc w:val="center"/>
              <w:rPr>
                <w:noProof/>
                <w:sz w:val="20"/>
                <w:lang w:eastAsia="et-EE" w:bidi="et-EE"/>
              </w:rPr>
            </w:pPr>
            <w:r>
              <w:rPr>
                <w:noProof/>
                <w:sz w:val="20"/>
                <w:lang w:eastAsia="et-EE" w:bidi="et-EE"/>
              </w:rPr>
              <w:t>Kokku</w:t>
            </w:r>
          </w:p>
        </w:tc>
      </w:tr>
      <w:tr w:rsidR="001449F2">
        <w:trPr>
          <w:cantSplit/>
        </w:trPr>
        <w:tc>
          <w:tcPr>
            <w:tcW w:w="2340" w:type="dxa"/>
          </w:tcPr>
          <w:p w:rsidR="001449F2" w:rsidRDefault="002324A9">
            <w:pPr>
              <w:rPr>
                <w:noProof/>
                <w:lang w:eastAsia="et-EE" w:bidi="et-EE"/>
              </w:rPr>
            </w:pPr>
            <w:r>
              <w:rPr>
                <w:noProof/>
                <w:sz w:val="20"/>
                <w:lang w:eastAsia="et-EE" w:bidi="et-EE"/>
              </w:rPr>
              <w:t>Täpsustage kaasrahastav asutus</w:t>
            </w:r>
            <w:r>
              <w:rPr>
                <w:i/>
                <w:noProof/>
                <w:sz w:val="20"/>
                <w:lang w:eastAsia="et-EE" w:bidi="et-EE"/>
              </w:rPr>
              <w:t xml:space="preserve"> </w:t>
            </w: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1158" w:type="dxa"/>
            <w:vAlign w:val="center"/>
          </w:tcPr>
          <w:p w:rsidR="001449F2" w:rsidRDefault="001449F2">
            <w:pPr>
              <w:spacing w:before="60" w:after="60"/>
              <w:jc w:val="center"/>
              <w:rPr>
                <w:noProof/>
                <w:sz w:val="20"/>
                <w:lang w:eastAsia="et-EE" w:bidi="et-EE"/>
              </w:rPr>
            </w:pPr>
          </w:p>
        </w:tc>
      </w:tr>
      <w:tr w:rsidR="001449F2">
        <w:trPr>
          <w:cantSplit/>
        </w:trPr>
        <w:tc>
          <w:tcPr>
            <w:tcW w:w="2340" w:type="dxa"/>
          </w:tcPr>
          <w:p w:rsidR="001449F2" w:rsidRDefault="002324A9">
            <w:pPr>
              <w:spacing w:before="60" w:after="60"/>
              <w:jc w:val="left"/>
              <w:rPr>
                <w:noProof/>
                <w:sz w:val="20"/>
                <w:lang w:eastAsia="et-EE" w:bidi="et-EE"/>
              </w:rPr>
            </w:pPr>
            <w:r>
              <w:rPr>
                <w:noProof/>
                <w:sz w:val="20"/>
                <w:lang w:eastAsia="et-EE" w:bidi="et-EE"/>
              </w:rPr>
              <w:t xml:space="preserve">Kaasrahastatavad assigneeringud KOKKU </w:t>
            </w: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964" w:type="dxa"/>
            <w:vAlign w:val="center"/>
          </w:tcPr>
          <w:p w:rsidR="001449F2" w:rsidRDefault="001449F2">
            <w:pPr>
              <w:spacing w:before="60" w:after="60"/>
              <w:jc w:val="center"/>
              <w:rPr>
                <w:noProof/>
                <w:sz w:val="20"/>
                <w:lang w:eastAsia="et-EE" w:bidi="et-EE"/>
              </w:rPr>
            </w:pPr>
          </w:p>
        </w:tc>
        <w:tc>
          <w:tcPr>
            <w:tcW w:w="1158" w:type="dxa"/>
            <w:vAlign w:val="center"/>
          </w:tcPr>
          <w:p w:rsidR="001449F2" w:rsidRDefault="001449F2">
            <w:pPr>
              <w:spacing w:before="60" w:after="60"/>
              <w:jc w:val="center"/>
              <w:rPr>
                <w:noProof/>
                <w:sz w:val="20"/>
                <w:lang w:eastAsia="et-EE" w:bidi="et-EE"/>
              </w:rPr>
            </w:pPr>
          </w:p>
        </w:tc>
      </w:tr>
    </w:tbl>
    <w:p w:rsidR="001449F2" w:rsidRDefault="002324A9">
      <w:pPr>
        <w:pStyle w:val="ManualHeading2"/>
        <w:rPr>
          <w:bCs/>
          <w:noProof/>
          <w:szCs w:val="24"/>
        </w:rPr>
      </w:pPr>
      <w:r>
        <w:rPr>
          <w:noProof/>
          <w:lang w:eastAsia="et-EE" w:bidi="et-EE"/>
        </w:rPr>
        <w:br w:type="page"/>
      </w:r>
      <w:r>
        <w:rPr>
          <w:noProof/>
        </w:rPr>
        <w:lastRenderedPageBreak/>
        <w:t>3.3.</w:t>
      </w:r>
      <w:r>
        <w:rPr>
          <w:noProof/>
        </w:rPr>
        <w:tab/>
      </w:r>
      <w:r>
        <w:rPr>
          <w:noProof/>
          <w:lang w:eastAsia="et-EE" w:bidi="et-EE"/>
        </w:rPr>
        <w:t xml:space="preserve">Hinnanguline mõju tuludele </w:t>
      </w:r>
    </w:p>
    <w:p w:rsidR="001449F2" w:rsidRDefault="002324A9">
      <w:pPr>
        <w:pStyle w:val="ListDash1"/>
        <w:rPr>
          <w:noProof/>
          <w:lang w:bidi="et-EE"/>
        </w:rPr>
      </w:pPr>
      <w:r>
        <w:rPr>
          <w:noProof/>
          <w:lang w:bidi="et-EE"/>
        </w:rPr>
        <w:sym w:font="Wingdings" w:char="F0FD"/>
      </w:r>
      <w:r>
        <w:rPr>
          <w:noProof/>
          <w:lang w:bidi="et-EE"/>
        </w:rPr>
        <w:t>Ettepanekul/algatusel puudub finantsmõju tuludele.</w:t>
      </w:r>
    </w:p>
    <w:p w:rsidR="001449F2" w:rsidRDefault="002324A9">
      <w:pPr>
        <w:pStyle w:val="ListDash1"/>
        <w:rPr>
          <w:noProof/>
          <w:lang w:bidi="et-EE"/>
        </w:rPr>
      </w:pPr>
      <w:r>
        <w:rPr>
          <w:noProof/>
          <w:lang w:bidi="et-EE"/>
        </w:rPr>
        <w:sym w:font="Wingdings" w:char="F0A8"/>
      </w:r>
      <w:r>
        <w:rPr>
          <w:noProof/>
          <w:lang w:bidi="et-EE"/>
        </w:rPr>
        <w:t>Ettepanekul/algatusel on järgmine finantsmõju:</w:t>
      </w:r>
    </w:p>
    <w:p w:rsidR="001449F2" w:rsidRDefault="002324A9">
      <w:pPr>
        <w:pStyle w:val="ListNumberLevel3"/>
        <w:rPr>
          <w:noProof/>
          <w:lang w:bidi="et-EE"/>
        </w:rPr>
      </w:pPr>
      <w:r>
        <w:rPr>
          <w:noProof/>
          <w:lang w:bidi="et-EE"/>
        </w:rPr>
        <w:sym w:font="Wingdings" w:char="F0A8"/>
      </w:r>
      <w:r>
        <w:rPr>
          <w:noProof/>
          <w:lang w:bidi="et-EE"/>
        </w:rPr>
        <w:tab/>
        <w:t xml:space="preserve">omavahenditele </w:t>
      </w:r>
    </w:p>
    <w:p w:rsidR="001449F2" w:rsidRDefault="002324A9">
      <w:pPr>
        <w:pStyle w:val="ListNumberLevel3"/>
        <w:rPr>
          <w:noProof/>
          <w:lang w:bidi="et-EE"/>
        </w:rPr>
      </w:pPr>
      <w:r>
        <w:rPr>
          <w:noProof/>
          <w:lang w:bidi="et-EE"/>
        </w:rPr>
        <w:sym w:font="Wingdings" w:char="F0A8"/>
      </w:r>
      <w:r>
        <w:rPr>
          <w:noProof/>
          <w:lang w:bidi="et-EE"/>
        </w:rPr>
        <w:tab/>
        <w:t xml:space="preserve">mitmesugustele tuludele </w:t>
      </w:r>
    </w:p>
    <w:p w:rsidR="001449F2" w:rsidRDefault="002324A9">
      <w:pPr>
        <w:jc w:val="right"/>
        <w:rPr>
          <w:i/>
          <w:noProof/>
          <w:sz w:val="20"/>
          <w:lang w:eastAsia="et-EE" w:bidi="et-EE"/>
        </w:rPr>
      </w:pPr>
      <w:r>
        <w:rPr>
          <w:noProof/>
          <w:lang w:eastAsia="et-EE" w:bidi="et-EE"/>
        </w:rPr>
        <w:t>miljonites eurodes (kolm kohta pärast koma)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449F2">
        <w:trPr>
          <w:trHeight w:val="388"/>
        </w:trPr>
        <w:tc>
          <w:tcPr>
            <w:tcW w:w="2144" w:type="dxa"/>
            <w:vMerge w:val="restart"/>
            <w:vAlign w:val="center"/>
          </w:tcPr>
          <w:p w:rsidR="001449F2" w:rsidRDefault="002324A9">
            <w:pPr>
              <w:spacing w:before="40" w:after="40"/>
              <w:rPr>
                <w:noProof/>
                <w:sz w:val="18"/>
                <w:lang w:eastAsia="et-EE" w:bidi="et-EE"/>
              </w:rPr>
            </w:pPr>
            <w:r>
              <w:rPr>
                <w:noProof/>
                <w:sz w:val="18"/>
                <w:lang w:eastAsia="et-EE" w:bidi="et-EE"/>
              </w:rPr>
              <w:t>Tulude eelarverida</w:t>
            </w:r>
          </w:p>
        </w:tc>
        <w:tc>
          <w:tcPr>
            <w:tcW w:w="1276" w:type="dxa"/>
            <w:vMerge w:val="restart"/>
            <w:vAlign w:val="center"/>
          </w:tcPr>
          <w:p w:rsidR="001449F2" w:rsidRDefault="002324A9">
            <w:pPr>
              <w:jc w:val="center"/>
              <w:rPr>
                <w:noProof/>
                <w:sz w:val="18"/>
                <w:lang w:eastAsia="et-EE" w:bidi="et-EE"/>
              </w:rPr>
            </w:pPr>
            <w:r>
              <w:rPr>
                <w:noProof/>
                <w:sz w:val="18"/>
                <w:lang w:eastAsia="et-EE" w:bidi="et-EE"/>
              </w:rPr>
              <w:t>Jooksva aasta eelarves kättesaadavad assigneeringud</w:t>
            </w:r>
          </w:p>
        </w:tc>
        <w:tc>
          <w:tcPr>
            <w:tcW w:w="7200" w:type="dxa"/>
            <w:gridSpan w:val="7"/>
            <w:vAlign w:val="center"/>
          </w:tcPr>
          <w:p w:rsidR="001449F2" w:rsidRDefault="002324A9">
            <w:pPr>
              <w:jc w:val="center"/>
              <w:rPr>
                <w:noProof/>
                <w:sz w:val="18"/>
                <w:lang w:eastAsia="et-EE" w:bidi="et-EE"/>
              </w:rPr>
            </w:pPr>
            <w:r>
              <w:rPr>
                <w:noProof/>
                <w:sz w:val="18"/>
                <w:lang w:eastAsia="et-EE" w:bidi="et-EE"/>
              </w:rPr>
              <w:t>Ettepaneku/algatuse mõju</w:t>
            </w:r>
            <w:r>
              <w:rPr>
                <w:rStyle w:val="FootnoteReference"/>
                <w:noProof/>
              </w:rPr>
              <w:footnoteReference w:id="26"/>
            </w:r>
          </w:p>
        </w:tc>
      </w:tr>
      <w:tr w:rsidR="001449F2">
        <w:trPr>
          <w:trHeight w:val="388"/>
        </w:trPr>
        <w:tc>
          <w:tcPr>
            <w:tcW w:w="2144" w:type="dxa"/>
            <w:vMerge/>
          </w:tcPr>
          <w:p w:rsidR="001449F2" w:rsidRDefault="001449F2">
            <w:pPr>
              <w:spacing w:before="40" w:after="40"/>
              <w:rPr>
                <w:noProof/>
                <w:sz w:val="18"/>
                <w:lang w:eastAsia="et-EE" w:bidi="et-EE"/>
              </w:rPr>
            </w:pPr>
          </w:p>
        </w:tc>
        <w:tc>
          <w:tcPr>
            <w:tcW w:w="1276" w:type="dxa"/>
            <w:vMerge/>
          </w:tcPr>
          <w:p w:rsidR="001449F2" w:rsidRDefault="001449F2" w:rsidP="00243171">
            <w:pPr>
              <w:spacing w:beforeLines="40" w:before="96" w:afterLines="40" w:after="96"/>
              <w:rPr>
                <w:i/>
                <w:noProof/>
                <w:sz w:val="18"/>
                <w:lang w:eastAsia="et-EE" w:bidi="et-EE"/>
              </w:rPr>
            </w:pPr>
          </w:p>
        </w:tc>
        <w:tc>
          <w:tcPr>
            <w:tcW w:w="1080" w:type="dxa"/>
            <w:vAlign w:val="center"/>
          </w:tcPr>
          <w:p w:rsidR="001449F2" w:rsidRDefault="002324A9">
            <w:pPr>
              <w:jc w:val="center"/>
              <w:rPr>
                <w:noProof/>
                <w:sz w:val="18"/>
                <w:lang w:eastAsia="et-EE" w:bidi="et-EE"/>
              </w:rPr>
            </w:pPr>
            <w:r>
              <w:rPr>
                <w:noProof/>
                <w:sz w:val="18"/>
                <w:lang w:eastAsia="et-EE" w:bidi="et-EE"/>
              </w:rPr>
              <w:t>Aasta</w:t>
            </w:r>
            <w:r>
              <w:rPr>
                <w:noProof/>
                <w:sz w:val="22"/>
                <w:lang w:eastAsia="et-EE" w:bidi="et-EE"/>
              </w:rPr>
              <w:br/>
            </w:r>
            <w:r>
              <w:rPr>
                <w:b/>
                <w:noProof/>
                <w:sz w:val="18"/>
                <w:lang w:eastAsia="et-EE" w:bidi="et-EE"/>
              </w:rPr>
              <w:t>N</w:t>
            </w:r>
          </w:p>
        </w:tc>
        <w:tc>
          <w:tcPr>
            <w:tcW w:w="900" w:type="dxa"/>
            <w:vAlign w:val="center"/>
          </w:tcPr>
          <w:p w:rsidR="001449F2" w:rsidRDefault="002324A9">
            <w:pPr>
              <w:jc w:val="center"/>
              <w:rPr>
                <w:noProof/>
                <w:sz w:val="18"/>
                <w:lang w:eastAsia="et-EE" w:bidi="et-EE"/>
              </w:rPr>
            </w:pPr>
            <w:r>
              <w:rPr>
                <w:noProof/>
                <w:sz w:val="18"/>
                <w:lang w:eastAsia="et-EE" w:bidi="et-EE"/>
              </w:rPr>
              <w:t>Aasta</w:t>
            </w:r>
            <w:r>
              <w:rPr>
                <w:noProof/>
                <w:sz w:val="22"/>
                <w:lang w:eastAsia="et-EE" w:bidi="et-EE"/>
              </w:rPr>
              <w:br/>
            </w:r>
            <w:r>
              <w:rPr>
                <w:b/>
                <w:noProof/>
                <w:sz w:val="18"/>
                <w:lang w:eastAsia="et-EE" w:bidi="et-EE"/>
              </w:rPr>
              <w:t>N+1</w:t>
            </w:r>
          </w:p>
        </w:tc>
        <w:tc>
          <w:tcPr>
            <w:tcW w:w="900" w:type="dxa"/>
            <w:vAlign w:val="center"/>
          </w:tcPr>
          <w:p w:rsidR="001449F2" w:rsidRDefault="002324A9">
            <w:pPr>
              <w:jc w:val="center"/>
              <w:rPr>
                <w:noProof/>
                <w:sz w:val="18"/>
                <w:lang w:eastAsia="et-EE" w:bidi="et-EE"/>
              </w:rPr>
            </w:pPr>
            <w:r>
              <w:rPr>
                <w:noProof/>
                <w:sz w:val="18"/>
                <w:lang w:eastAsia="et-EE" w:bidi="et-EE"/>
              </w:rPr>
              <w:t>Aasta</w:t>
            </w:r>
            <w:r>
              <w:rPr>
                <w:noProof/>
                <w:sz w:val="22"/>
                <w:lang w:eastAsia="et-EE" w:bidi="et-EE"/>
              </w:rPr>
              <w:br/>
            </w:r>
            <w:r>
              <w:rPr>
                <w:b/>
                <w:noProof/>
                <w:sz w:val="18"/>
                <w:lang w:eastAsia="et-EE" w:bidi="et-EE"/>
              </w:rPr>
              <w:t>N+2</w:t>
            </w:r>
          </w:p>
        </w:tc>
        <w:tc>
          <w:tcPr>
            <w:tcW w:w="1080" w:type="dxa"/>
            <w:vAlign w:val="center"/>
          </w:tcPr>
          <w:p w:rsidR="001449F2" w:rsidRDefault="002324A9">
            <w:pPr>
              <w:jc w:val="center"/>
              <w:rPr>
                <w:noProof/>
                <w:sz w:val="18"/>
                <w:lang w:eastAsia="et-EE" w:bidi="et-EE"/>
              </w:rPr>
            </w:pPr>
            <w:r>
              <w:rPr>
                <w:noProof/>
                <w:sz w:val="18"/>
                <w:lang w:eastAsia="et-EE" w:bidi="et-EE"/>
              </w:rPr>
              <w:t>Aasta</w:t>
            </w:r>
            <w:r>
              <w:rPr>
                <w:noProof/>
                <w:sz w:val="22"/>
                <w:lang w:eastAsia="et-EE" w:bidi="et-EE"/>
              </w:rPr>
              <w:br/>
            </w:r>
            <w:r>
              <w:rPr>
                <w:b/>
                <w:noProof/>
                <w:sz w:val="18"/>
                <w:lang w:eastAsia="et-EE" w:bidi="et-EE"/>
              </w:rPr>
              <w:t>N+3</w:t>
            </w:r>
          </w:p>
        </w:tc>
        <w:tc>
          <w:tcPr>
            <w:tcW w:w="3240" w:type="dxa"/>
            <w:gridSpan w:val="3"/>
            <w:vAlign w:val="center"/>
          </w:tcPr>
          <w:p w:rsidR="001449F2" w:rsidRDefault="002324A9">
            <w:pPr>
              <w:jc w:val="center"/>
              <w:rPr>
                <w:b/>
                <w:noProof/>
                <w:sz w:val="18"/>
                <w:lang w:eastAsia="et-EE" w:bidi="et-EE"/>
              </w:rPr>
            </w:pPr>
            <w:r>
              <w:rPr>
                <w:noProof/>
                <w:sz w:val="18"/>
                <w:lang w:eastAsia="et-EE" w:bidi="et-EE"/>
              </w:rPr>
              <w:t>Lisage vajalik arv aastaid, et kajastada kogu finantsmõju kestust (vt punkt 1.6)</w:t>
            </w:r>
          </w:p>
        </w:tc>
      </w:tr>
      <w:tr w:rsidR="001449F2">
        <w:trPr>
          <w:trHeight w:val="388"/>
        </w:trPr>
        <w:tc>
          <w:tcPr>
            <w:tcW w:w="2144" w:type="dxa"/>
            <w:vAlign w:val="center"/>
          </w:tcPr>
          <w:p w:rsidR="001449F2" w:rsidRDefault="002324A9">
            <w:pPr>
              <w:spacing w:before="40" w:after="40"/>
              <w:rPr>
                <w:noProof/>
                <w:sz w:val="18"/>
                <w:lang w:eastAsia="et-EE" w:bidi="et-EE"/>
              </w:rPr>
            </w:pPr>
            <w:r>
              <w:rPr>
                <w:noProof/>
                <w:sz w:val="18"/>
                <w:lang w:eastAsia="et-EE" w:bidi="et-EE"/>
              </w:rPr>
              <w:t>Artikkel ………….</w:t>
            </w:r>
          </w:p>
        </w:tc>
        <w:tc>
          <w:tcPr>
            <w:tcW w:w="1276" w:type="dxa"/>
          </w:tcPr>
          <w:p w:rsidR="001449F2" w:rsidRDefault="001449F2" w:rsidP="00243171">
            <w:pPr>
              <w:spacing w:beforeLines="40" w:before="96" w:afterLines="40" w:after="96"/>
              <w:jc w:val="center"/>
              <w:rPr>
                <w:i/>
                <w:noProof/>
                <w:sz w:val="18"/>
                <w:lang w:eastAsia="et-EE" w:bidi="et-EE"/>
              </w:rPr>
            </w:pPr>
          </w:p>
        </w:tc>
        <w:tc>
          <w:tcPr>
            <w:tcW w:w="1080" w:type="dxa"/>
          </w:tcPr>
          <w:p w:rsidR="001449F2" w:rsidRDefault="001449F2" w:rsidP="00243171">
            <w:pPr>
              <w:spacing w:beforeLines="40" w:before="96" w:afterLines="40" w:after="96"/>
              <w:jc w:val="center"/>
              <w:rPr>
                <w:noProof/>
                <w:sz w:val="18"/>
                <w:lang w:eastAsia="et-EE" w:bidi="et-EE"/>
              </w:rPr>
            </w:pPr>
          </w:p>
        </w:tc>
        <w:tc>
          <w:tcPr>
            <w:tcW w:w="900" w:type="dxa"/>
          </w:tcPr>
          <w:p w:rsidR="001449F2" w:rsidRDefault="001449F2" w:rsidP="00243171">
            <w:pPr>
              <w:spacing w:beforeLines="40" w:before="96" w:afterLines="40" w:after="96"/>
              <w:jc w:val="center"/>
              <w:rPr>
                <w:noProof/>
                <w:sz w:val="18"/>
                <w:lang w:eastAsia="et-EE" w:bidi="et-EE"/>
              </w:rPr>
            </w:pPr>
          </w:p>
        </w:tc>
        <w:tc>
          <w:tcPr>
            <w:tcW w:w="900" w:type="dxa"/>
          </w:tcPr>
          <w:p w:rsidR="001449F2" w:rsidRDefault="001449F2" w:rsidP="00243171">
            <w:pPr>
              <w:spacing w:beforeLines="40" w:before="96" w:afterLines="40" w:after="96"/>
              <w:jc w:val="center"/>
              <w:rPr>
                <w:noProof/>
                <w:sz w:val="18"/>
                <w:lang w:eastAsia="et-EE" w:bidi="et-EE"/>
              </w:rPr>
            </w:pPr>
          </w:p>
        </w:tc>
        <w:tc>
          <w:tcPr>
            <w:tcW w:w="1080" w:type="dxa"/>
          </w:tcPr>
          <w:p w:rsidR="001449F2" w:rsidRDefault="001449F2" w:rsidP="00243171">
            <w:pPr>
              <w:spacing w:beforeLines="40" w:before="96" w:afterLines="40" w:after="96"/>
              <w:jc w:val="center"/>
              <w:rPr>
                <w:noProof/>
                <w:sz w:val="18"/>
                <w:lang w:eastAsia="et-EE" w:bidi="et-EE"/>
              </w:rPr>
            </w:pPr>
          </w:p>
        </w:tc>
        <w:tc>
          <w:tcPr>
            <w:tcW w:w="1080" w:type="dxa"/>
          </w:tcPr>
          <w:p w:rsidR="001449F2" w:rsidRDefault="001449F2" w:rsidP="00243171">
            <w:pPr>
              <w:spacing w:beforeLines="40" w:before="96" w:afterLines="40" w:after="96"/>
              <w:jc w:val="center"/>
              <w:rPr>
                <w:noProof/>
                <w:sz w:val="18"/>
                <w:lang w:eastAsia="et-EE" w:bidi="et-EE"/>
              </w:rPr>
            </w:pPr>
          </w:p>
        </w:tc>
        <w:tc>
          <w:tcPr>
            <w:tcW w:w="1080" w:type="dxa"/>
          </w:tcPr>
          <w:p w:rsidR="001449F2" w:rsidRDefault="001449F2" w:rsidP="00243171">
            <w:pPr>
              <w:spacing w:beforeLines="40" w:before="96" w:afterLines="40" w:after="96"/>
              <w:jc w:val="center"/>
              <w:rPr>
                <w:noProof/>
                <w:sz w:val="18"/>
                <w:lang w:eastAsia="et-EE" w:bidi="et-EE"/>
              </w:rPr>
            </w:pPr>
          </w:p>
        </w:tc>
        <w:tc>
          <w:tcPr>
            <w:tcW w:w="1080" w:type="dxa"/>
          </w:tcPr>
          <w:p w:rsidR="001449F2" w:rsidRDefault="001449F2" w:rsidP="00243171">
            <w:pPr>
              <w:spacing w:beforeLines="40" w:before="96" w:afterLines="40" w:after="96"/>
              <w:jc w:val="center"/>
              <w:rPr>
                <w:noProof/>
                <w:sz w:val="18"/>
                <w:lang w:eastAsia="et-EE" w:bidi="et-EE"/>
              </w:rPr>
            </w:pPr>
          </w:p>
        </w:tc>
      </w:tr>
    </w:tbl>
    <w:p w:rsidR="001449F2" w:rsidRDefault="002324A9">
      <w:pPr>
        <w:pStyle w:val="Text1"/>
        <w:rPr>
          <w:noProof/>
          <w:lang w:eastAsia="et-EE" w:bidi="et-EE"/>
        </w:rPr>
      </w:pPr>
      <w:r>
        <w:rPr>
          <w:noProof/>
          <w:lang w:eastAsia="et-EE" w:bidi="et-EE"/>
        </w:rPr>
        <w:t>Mitmesuguste sihtotstarbeliste tulude puhul täpsustage, milliseid kulude eelarveridasid ettepanek mõjutab.</w:t>
      </w:r>
    </w:p>
    <w:p w:rsidR="001449F2" w:rsidRDefault="001449F2">
      <w:pPr>
        <w:pStyle w:val="Tex1"/>
        <w:pBdr>
          <w:top w:val="single" w:sz="4" w:space="0" w:color="auto"/>
        </w:pBdr>
        <w:rPr>
          <w:noProof/>
          <w:lang w:eastAsia="et-EE" w:bidi="et-EE"/>
        </w:rPr>
      </w:pPr>
    </w:p>
    <w:p w:rsidR="001449F2" w:rsidRDefault="002324A9">
      <w:pPr>
        <w:pStyle w:val="Text1"/>
        <w:rPr>
          <w:noProof/>
          <w:lang w:eastAsia="et-EE" w:bidi="et-EE"/>
        </w:rPr>
      </w:pPr>
      <w:r>
        <w:rPr>
          <w:noProof/>
          <w:lang w:eastAsia="et-EE" w:bidi="et-EE"/>
        </w:rPr>
        <w:t>Täpsustage tuludele avalduva mõju arvutamise meetod.</w:t>
      </w:r>
    </w:p>
    <w:p w:rsidR="001449F2" w:rsidRDefault="001449F2">
      <w:pPr>
        <w:pStyle w:val="Tex1"/>
        <w:rPr>
          <w:noProof/>
          <w:lang w:eastAsia="et-EE" w:bidi="et-EE"/>
        </w:rPr>
      </w:pPr>
    </w:p>
    <w:sectPr w:rsidR="001449F2" w:rsidSect="002324A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3B" w:rsidRDefault="000F323B">
      <w:pPr>
        <w:spacing w:before="0" w:after="0"/>
      </w:pPr>
      <w:r>
        <w:separator/>
      </w:r>
    </w:p>
  </w:endnote>
  <w:endnote w:type="continuationSeparator" w:id="0">
    <w:p w:rsidR="000F323B" w:rsidRDefault="000F32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7A59CB" w:rsidRDefault="002324A9" w:rsidP="007A59C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2324A9" w:rsidRDefault="002324A9" w:rsidP="002324A9">
    <w:pPr>
      <w:pStyle w:val="FooterLandscap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F2" w:rsidRPr="002324A9" w:rsidRDefault="002324A9" w:rsidP="002324A9">
    <w:pPr>
      <w:pStyle w:val="Footer"/>
      <w:rPr>
        <w:rFonts w:ascii="Arial" w:hAnsi="Arial" w:cs="Arial"/>
        <w:b/>
        <w:sz w:val="48"/>
      </w:rPr>
    </w:pPr>
    <w:r w:rsidRPr="002324A9">
      <w:rPr>
        <w:rFonts w:ascii="Arial" w:hAnsi="Arial" w:cs="Arial"/>
        <w:b/>
        <w:sz w:val="48"/>
      </w:rPr>
      <w:t>ET</w:t>
    </w:r>
    <w:r w:rsidRPr="002324A9">
      <w:rPr>
        <w:rFonts w:ascii="Arial" w:hAnsi="Arial" w:cs="Arial"/>
        <w:b/>
        <w:sz w:val="48"/>
      </w:rPr>
      <w:tab/>
    </w:r>
    <w:r w:rsidR="0064647E">
      <w:fldChar w:fldCharType="begin"/>
    </w:r>
    <w:r>
      <w:instrText xml:space="preserve"> PAGE  \* MERGEFORMAT </w:instrText>
    </w:r>
    <w:r w:rsidR="0064647E">
      <w:fldChar w:fldCharType="separate"/>
    </w:r>
    <w:r w:rsidR="00EB3A03">
      <w:rPr>
        <w:noProof/>
      </w:rPr>
      <w:t>36</w:t>
    </w:r>
    <w:r w:rsidR="0064647E">
      <w:fldChar w:fldCharType="end"/>
    </w:r>
    <w:r>
      <w:tab/>
      <w:t xml:space="preserve"> </w:t>
    </w:r>
    <w:r w:rsidRPr="002324A9">
      <w:tab/>
    </w:r>
    <w:r w:rsidRPr="002324A9">
      <w:rPr>
        <w:rFonts w:ascii="Arial" w:hAnsi="Arial" w:cs="Arial"/>
        <w:b/>
        <w:sz w:val="48"/>
      </w:rPr>
      <w:t>ET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2324A9" w:rsidRDefault="002324A9" w:rsidP="00232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59CB" w:rsidRPr="00D94637" w:rsidTr="007A59CB">
      <w:trPr>
        <w:jc w:val="center"/>
      </w:trPr>
      <w:tc>
        <w:tcPr>
          <w:tcW w:w="5000" w:type="pct"/>
          <w:gridSpan w:val="7"/>
          <w:shd w:val="clear" w:color="auto" w:fill="auto"/>
          <w:tcMar>
            <w:top w:w="57" w:type="dxa"/>
          </w:tcMar>
        </w:tcPr>
        <w:p w:rsidR="007A59CB" w:rsidRPr="00D94637" w:rsidRDefault="007A59CB" w:rsidP="00D94637">
          <w:pPr>
            <w:pStyle w:val="FooterText"/>
            <w:pBdr>
              <w:top w:val="single" w:sz="4" w:space="1" w:color="auto"/>
            </w:pBdr>
            <w:spacing w:before="200"/>
            <w:rPr>
              <w:sz w:val="2"/>
              <w:szCs w:val="2"/>
            </w:rPr>
          </w:pPr>
          <w:bookmarkStart w:id="2" w:name="FOOTER_STANDARD"/>
        </w:p>
      </w:tc>
    </w:tr>
    <w:tr w:rsidR="007A59CB" w:rsidRPr="00B310DC" w:rsidTr="007A59CB">
      <w:trPr>
        <w:jc w:val="center"/>
      </w:trPr>
      <w:tc>
        <w:tcPr>
          <w:tcW w:w="2500" w:type="pct"/>
          <w:gridSpan w:val="2"/>
          <w:shd w:val="clear" w:color="auto" w:fill="auto"/>
          <w:tcMar>
            <w:top w:w="0" w:type="dxa"/>
          </w:tcMar>
        </w:tcPr>
        <w:p w:rsidR="007A59CB" w:rsidRPr="00AD7BF2" w:rsidRDefault="007A59CB" w:rsidP="004F54B2">
          <w:pPr>
            <w:pStyle w:val="FooterText"/>
          </w:pPr>
          <w:r>
            <w:t>5638/16</w:t>
          </w:r>
          <w:r w:rsidRPr="002511D8">
            <w:t xml:space="preserve"> </w:t>
          </w:r>
        </w:p>
      </w:tc>
      <w:tc>
        <w:tcPr>
          <w:tcW w:w="625" w:type="pct"/>
          <w:shd w:val="clear" w:color="auto" w:fill="auto"/>
          <w:tcMar>
            <w:top w:w="0" w:type="dxa"/>
          </w:tcMar>
        </w:tcPr>
        <w:p w:rsidR="007A59CB" w:rsidRPr="00AD7BF2" w:rsidRDefault="007A59CB" w:rsidP="00D94637">
          <w:pPr>
            <w:pStyle w:val="FooterText"/>
            <w:jc w:val="center"/>
          </w:pPr>
        </w:p>
      </w:tc>
      <w:tc>
        <w:tcPr>
          <w:tcW w:w="1287" w:type="pct"/>
          <w:gridSpan w:val="3"/>
          <w:shd w:val="clear" w:color="auto" w:fill="auto"/>
          <w:tcMar>
            <w:top w:w="0" w:type="dxa"/>
          </w:tcMar>
        </w:tcPr>
        <w:p w:rsidR="007A59CB" w:rsidRPr="002511D8" w:rsidRDefault="007A59CB" w:rsidP="00D94637">
          <w:pPr>
            <w:pStyle w:val="FooterText"/>
            <w:jc w:val="center"/>
          </w:pPr>
          <w:r>
            <w:t>plu</w:t>
          </w:r>
        </w:p>
      </w:tc>
      <w:tc>
        <w:tcPr>
          <w:tcW w:w="588" w:type="pct"/>
          <w:shd w:val="clear" w:color="auto" w:fill="auto"/>
          <w:tcMar>
            <w:top w:w="0" w:type="dxa"/>
          </w:tcMar>
        </w:tcPr>
        <w:p w:rsidR="007A59CB" w:rsidRPr="00B310DC" w:rsidRDefault="0064647E" w:rsidP="00D94637">
          <w:pPr>
            <w:pStyle w:val="FooterText"/>
            <w:jc w:val="right"/>
          </w:pPr>
          <w:r>
            <w:fldChar w:fldCharType="begin"/>
          </w:r>
          <w:r w:rsidR="007A59CB">
            <w:instrText xml:space="preserve"> PAGE  \* MERGEFORMAT </w:instrText>
          </w:r>
          <w:r>
            <w:fldChar w:fldCharType="separate"/>
          </w:r>
          <w:r w:rsidR="007A59CB">
            <w:rPr>
              <w:noProof/>
            </w:rPr>
            <w:t>0</w:t>
          </w:r>
          <w:r>
            <w:fldChar w:fldCharType="end"/>
          </w:r>
        </w:p>
      </w:tc>
    </w:tr>
    <w:tr w:rsidR="007A59CB" w:rsidRPr="00D94637" w:rsidTr="007A59CB">
      <w:trPr>
        <w:jc w:val="center"/>
      </w:trPr>
      <w:tc>
        <w:tcPr>
          <w:tcW w:w="1774" w:type="pct"/>
          <w:shd w:val="clear" w:color="auto" w:fill="auto"/>
        </w:tcPr>
        <w:p w:rsidR="007A59CB" w:rsidRPr="00AD7BF2" w:rsidRDefault="007A59CB" w:rsidP="00D94637">
          <w:pPr>
            <w:pStyle w:val="FooterText"/>
            <w:spacing w:before="40"/>
          </w:pPr>
        </w:p>
      </w:tc>
      <w:tc>
        <w:tcPr>
          <w:tcW w:w="1455" w:type="pct"/>
          <w:gridSpan w:val="3"/>
          <w:shd w:val="clear" w:color="auto" w:fill="auto"/>
        </w:tcPr>
        <w:p w:rsidR="007A59CB" w:rsidRPr="00AD7BF2" w:rsidRDefault="007A59CB" w:rsidP="00D204D6">
          <w:pPr>
            <w:pStyle w:val="FooterText"/>
            <w:spacing w:before="40"/>
            <w:jc w:val="center"/>
          </w:pPr>
          <w:r>
            <w:t>DG G 2B</w:t>
          </w:r>
        </w:p>
      </w:tc>
      <w:tc>
        <w:tcPr>
          <w:tcW w:w="1147" w:type="pct"/>
          <w:shd w:val="clear" w:color="auto" w:fill="auto"/>
        </w:tcPr>
        <w:p w:rsidR="007A59CB" w:rsidRPr="00D94637" w:rsidRDefault="007A59CB" w:rsidP="00D94637">
          <w:pPr>
            <w:pStyle w:val="FooterText"/>
            <w:jc w:val="right"/>
            <w:rPr>
              <w:b/>
              <w:position w:val="-4"/>
              <w:sz w:val="36"/>
            </w:rPr>
          </w:pPr>
        </w:p>
      </w:tc>
      <w:tc>
        <w:tcPr>
          <w:tcW w:w="625" w:type="pct"/>
          <w:gridSpan w:val="2"/>
          <w:shd w:val="clear" w:color="auto" w:fill="auto"/>
        </w:tcPr>
        <w:p w:rsidR="007A59CB" w:rsidRPr="00D94637" w:rsidRDefault="007A59CB" w:rsidP="00D94637">
          <w:pPr>
            <w:pStyle w:val="FooterText"/>
            <w:jc w:val="right"/>
            <w:rPr>
              <w:sz w:val="16"/>
            </w:rPr>
          </w:pPr>
          <w:r>
            <w:rPr>
              <w:b/>
              <w:position w:val="-4"/>
              <w:sz w:val="36"/>
            </w:rPr>
            <w:t>ET</w:t>
          </w:r>
        </w:p>
      </w:tc>
    </w:tr>
    <w:bookmarkEnd w:id="2"/>
  </w:tbl>
  <w:p w:rsidR="002324A9" w:rsidRPr="007A59CB" w:rsidRDefault="002324A9" w:rsidP="007A59C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59CB" w:rsidRPr="00D94637" w:rsidTr="007A59CB">
      <w:trPr>
        <w:jc w:val="center"/>
      </w:trPr>
      <w:tc>
        <w:tcPr>
          <w:tcW w:w="5000" w:type="pct"/>
          <w:gridSpan w:val="7"/>
          <w:shd w:val="clear" w:color="auto" w:fill="auto"/>
          <w:tcMar>
            <w:top w:w="57" w:type="dxa"/>
          </w:tcMar>
        </w:tcPr>
        <w:p w:rsidR="007A59CB" w:rsidRPr="00D94637" w:rsidRDefault="007A59CB" w:rsidP="00D94637">
          <w:pPr>
            <w:pStyle w:val="FooterText"/>
            <w:pBdr>
              <w:top w:val="single" w:sz="4" w:space="1" w:color="auto"/>
            </w:pBdr>
            <w:spacing w:before="200"/>
            <w:rPr>
              <w:sz w:val="2"/>
              <w:szCs w:val="2"/>
            </w:rPr>
          </w:pPr>
        </w:p>
      </w:tc>
    </w:tr>
    <w:tr w:rsidR="007A59CB" w:rsidRPr="00B310DC" w:rsidTr="007A59CB">
      <w:trPr>
        <w:jc w:val="center"/>
      </w:trPr>
      <w:tc>
        <w:tcPr>
          <w:tcW w:w="2500" w:type="pct"/>
          <w:gridSpan w:val="2"/>
          <w:shd w:val="clear" w:color="auto" w:fill="auto"/>
          <w:tcMar>
            <w:top w:w="0" w:type="dxa"/>
          </w:tcMar>
        </w:tcPr>
        <w:p w:rsidR="007A59CB" w:rsidRPr="00AD7BF2" w:rsidRDefault="007A59CB" w:rsidP="004F54B2">
          <w:pPr>
            <w:pStyle w:val="FooterText"/>
          </w:pPr>
          <w:r>
            <w:t>5638/16</w:t>
          </w:r>
          <w:r w:rsidRPr="002511D8">
            <w:t xml:space="preserve"> </w:t>
          </w:r>
        </w:p>
      </w:tc>
      <w:tc>
        <w:tcPr>
          <w:tcW w:w="625" w:type="pct"/>
          <w:shd w:val="clear" w:color="auto" w:fill="auto"/>
          <w:tcMar>
            <w:top w:w="0" w:type="dxa"/>
          </w:tcMar>
        </w:tcPr>
        <w:p w:rsidR="007A59CB" w:rsidRPr="00AD7BF2" w:rsidRDefault="007A59CB" w:rsidP="00D94637">
          <w:pPr>
            <w:pStyle w:val="FooterText"/>
            <w:jc w:val="center"/>
          </w:pPr>
        </w:p>
      </w:tc>
      <w:tc>
        <w:tcPr>
          <w:tcW w:w="1287" w:type="pct"/>
          <w:gridSpan w:val="3"/>
          <w:shd w:val="clear" w:color="auto" w:fill="auto"/>
          <w:tcMar>
            <w:top w:w="0" w:type="dxa"/>
          </w:tcMar>
        </w:tcPr>
        <w:p w:rsidR="007A59CB" w:rsidRPr="002511D8" w:rsidRDefault="007A59CB" w:rsidP="00D94637">
          <w:pPr>
            <w:pStyle w:val="FooterText"/>
            <w:jc w:val="center"/>
          </w:pPr>
          <w:r>
            <w:t>plu</w:t>
          </w:r>
        </w:p>
      </w:tc>
      <w:tc>
        <w:tcPr>
          <w:tcW w:w="588" w:type="pct"/>
          <w:shd w:val="clear" w:color="auto" w:fill="auto"/>
          <w:tcMar>
            <w:top w:w="0" w:type="dxa"/>
          </w:tcMar>
        </w:tcPr>
        <w:p w:rsidR="007A59CB" w:rsidRPr="00B310DC" w:rsidRDefault="007A59CB" w:rsidP="00D94637">
          <w:pPr>
            <w:pStyle w:val="FooterText"/>
            <w:jc w:val="right"/>
          </w:pPr>
        </w:p>
      </w:tc>
    </w:tr>
    <w:tr w:rsidR="007A59CB" w:rsidRPr="00D94637" w:rsidTr="007A59CB">
      <w:trPr>
        <w:jc w:val="center"/>
      </w:trPr>
      <w:tc>
        <w:tcPr>
          <w:tcW w:w="1774" w:type="pct"/>
          <w:shd w:val="clear" w:color="auto" w:fill="auto"/>
        </w:tcPr>
        <w:p w:rsidR="007A59CB" w:rsidRPr="00AD7BF2" w:rsidRDefault="007A59CB" w:rsidP="00D94637">
          <w:pPr>
            <w:pStyle w:val="FooterText"/>
            <w:spacing w:before="40"/>
          </w:pPr>
        </w:p>
      </w:tc>
      <w:tc>
        <w:tcPr>
          <w:tcW w:w="1455" w:type="pct"/>
          <w:gridSpan w:val="3"/>
          <w:shd w:val="clear" w:color="auto" w:fill="auto"/>
        </w:tcPr>
        <w:p w:rsidR="007A59CB" w:rsidRPr="00AD7BF2" w:rsidRDefault="007A59CB" w:rsidP="00D204D6">
          <w:pPr>
            <w:pStyle w:val="FooterText"/>
            <w:spacing w:before="40"/>
            <w:jc w:val="center"/>
          </w:pPr>
          <w:r>
            <w:t>DG G 2B</w:t>
          </w:r>
        </w:p>
      </w:tc>
      <w:tc>
        <w:tcPr>
          <w:tcW w:w="1147" w:type="pct"/>
          <w:shd w:val="clear" w:color="auto" w:fill="auto"/>
        </w:tcPr>
        <w:p w:rsidR="007A59CB" w:rsidRPr="00D94637" w:rsidRDefault="007A59CB" w:rsidP="00D94637">
          <w:pPr>
            <w:pStyle w:val="FooterText"/>
            <w:jc w:val="right"/>
            <w:rPr>
              <w:b/>
              <w:position w:val="-4"/>
              <w:sz w:val="36"/>
            </w:rPr>
          </w:pPr>
        </w:p>
      </w:tc>
      <w:tc>
        <w:tcPr>
          <w:tcW w:w="625" w:type="pct"/>
          <w:gridSpan w:val="2"/>
          <w:shd w:val="clear" w:color="auto" w:fill="auto"/>
        </w:tcPr>
        <w:p w:rsidR="007A59CB" w:rsidRPr="00D94637" w:rsidRDefault="007A59CB" w:rsidP="00D94637">
          <w:pPr>
            <w:pStyle w:val="FooterText"/>
            <w:jc w:val="right"/>
            <w:rPr>
              <w:sz w:val="16"/>
            </w:rPr>
          </w:pPr>
          <w:r>
            <w:rPr>
              <w:b/>
              <w:position w:val="-4"/>
              <w:sz w:val="36"/>
            </w:rPr>
            <w:t>ET</w:t>
          </w:r>
        </w:p>
      </w:tc>
    </w:tr>
  </w:tbl>
  <w:p w:rsidR="002324A9" w:rsidRPr="007A59CB" w:rsidRDefault="002324A9" w:rsidP="007A59C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B" w:rsidRPr="002324A9" w:rsidRDefault="007A59CB" w:rsidP="002324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B" w:rsidRPr="002324A9" w:rsidRDefault="007A59CB" w:rsidP="002324A9">
    <w:pPr>
      <w:pStyle w:val="Footer"/>
      <w:rPr>
        <w:rFonts w:ascii="Arial" w:hAnsi="Arial" w:cs="Arial"/>
        <w:b/>
        <w:sz w:val="48"/>
      </w:rPr>
    </w:pPr>
    <w:r w:rsidRPr="002324A9">
      <w:rPr>
        <w:rFonts w:ascii="Arial" w:hAnsi="Arial" w:cs="Arial"/>
        <w:b/>
        <w:sz w:val="48"/>
      </w:rPr>
      <w:t>ET</w:t>
    </w:r>
    <w:r w:rsidRPr="002324A9">
      <w:rPr>
        <w:rFonts w:ascii="Arial" w:hAnsi="Arial" w:cs="Arial"/>
        <w:b/>
        <w:sz w:val="48"/>
      </w:rPr>
      <w:tab/>
    </w:r>
    <w:r w:rsidRPr="002324A9">
      <w:rPr>
        <w:rFonts w:ascii="Arial" w:hAnsi="Arial" w:cs="Arial"/>
        <w:b/>
        <w:sz w:val="48"/>
      </w:rPr>
      <w:tab/>
    </w:r>
    <w:r>
      <w:t xml:space="preserve"> </w:t>
    </w:r>
    <w:r w:rsidRPr="002324A9">
      <w:tab/>
    </w:r>
    <w:r w:rsidRPr="002324A9">
      <w:rPr>
        <w:rFonts w:ascii="Arial" w:hAnsi="Arial" w:cs="Arial"/>
        <w:b/>
        <w:sz w:val="48"/>
      </w:rPr>
      <w:t>ET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B" w:rsidRPr="002324A9" w:rsidRDefault="007A59CB" w:rsidP="002324A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2324A9" w:rsidRDefault="002324A9" w:rsidP="002324A9">
    <w:pPr>
      <w:pStyle w:val="Footer"/>
      <w:rPr>
        <w:rFonts w:ascii="Arial" w:hAnsi="Arial" w:cs="Arial"/>
        <w:b/>
        <w:sz w:val="48"/>
      </w:rPr>
    </w:pPr>
    <w:r w:rsidRPr="002324A9">
      <w:rPr>
        <w:rFonts w:ascii="Arial" w:hAnsi="Arial" w:cs="Arial"/>
        <w:b/>
        <w:sz w:val="48"/>
      </w:rPr>
      <w:t>ET</w:t>
    </w:r>
    <w:r w:rsidRPr="002324A9">
      <w:rPr>
        <w:rFonts w:ascii="Arial" w:hAnsi="Arial" w:cs="Arial"/>
        <w:b/>
        <w:sz w:val="48"/>
      </w:rPr>
      <w:tab/>
    </w:r>
    <w:r w:rsidR="0064647E">
      <w:fldChar w:fldCharType="begin"/>
    </w:r>
    <w:r>
      <w:instrText xml:space="preserve"> PAGE  \* MERGEFORMAT </w:instrText>
    </w:r>
    <w:r w:rsidR="0064647E">
      <w:fldChar w:fldCharType="separate"/>
    </w:r>
    <w:r w:rsidR="00EB3A03">
      <w:rPr>
        <w:noProof/>
      </w:rPr>
      <w:t>4</w:t>
    </w:r>
    <w:r w:rsidR="0064647E">
      <w:fldChar w:fldCharType="end"/>
    </w:r>
    <w:r>
      <w:tab/>
      <w:t xml:space="preserve"> </w:t>
    </w:r>
    <w:r w:rsidRPr="002324A9">
      <w:tab/>
    </w:r>
    <w:r w:rsidRPr="002324A9">
      <w:rPr>
        <w:rFonts w:ascii="Arial" w:hAnsi="Arial" w:cs="Arial"/>
        <w:b/>
        <w:sz w:val="48"/>
      </w:rPr>
      <w:t>ET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2324A9" w:rsidRDefault="002324A9" w:rsidP="002324A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F2" w:rsidRPr="002324A9" w:rsidRDefault="002324A9" w:rsidP="002324A9">
    <w:pPr>
      <w:pStyle w:val="FooterLandscape"/>
      <w:rPr>
        <w:rFonts w:ascii="Arial" w:hAnsi="Arial" w:cs="Arial"/>
        <w:b/>
        <w:sz w:val="48"/>
      </w:rPr>
    </w:pPr>
    <w:r w:rsidRPr="002324A9">
      <w:rPr>
        <w:rFonts w:ascii="Arial" w:hAnsi="Arial" w:cs="Arial"/>
        <w:b/>
        <w:sz w:val="48"/>
      </w:rPr>
      <w:t>ET</w:t>
    </w:r>
    <w:r w:rsidRPr="002324A9">
      <w:rPr>
        <w:rFonts w:ascii="Arial" w:hAnsi="Arial" w:cs="Arial"/>
        <w:b/>
        <w:sz w:val="48"/>
      </w:rPr>
      <w:tab/>
    </w:r>
    <w:r w:rsidR="0064647E">
      <w:fldChar w:fldCharType="begin"/>
    </w:r>
    <w:r>
      <w:instrText xml:space="preserve"> PAGE  \* MERGEFORMAT </w:instrText>
    </w:r>
    <w:r w:rsidR="0064647E">
      <w:fldChar w:fldCharType="separate"/>
    </w:r>
    <w:r w:rsidR="00EB3A03">
      <w:rPr>
        <w:noProof/>
      </w:rPr>
      <w:t>30</w:t>
    </w:r>
    <w:r w:rsidR="0064647E">
      <w:fldChar w:fldCharType="end"/>
    </w:r>
    <w:r>
      <w:tab/>
      <w:t xml:space="preserve"> </w:t>
    </w:r>
    <w:r w:rsidRPr="002324A9">
      <w:tab/>
    </w:r>
    <w:r w:rsidRPr="002324A9">
      <w:rPr>
        <w:rFonts w:ascii="Arial" w:hAnsi="Arial" w:cs="Arial"/>
        <w:b/>
        <w:sz w:val="48"/>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3B" w:rsidRDefault="000F323B">
      <w:pPr>
        <w:spacing w:before="0" w:after="0"/>
      </w:pPr>
      <w:r>
        <w:separator/>
      </w:r>
    </w:p>
  </w:footnote>
  <w:footnote w:type="continuationSeparator" w:id="0">
    <w:p w:rsidR="000F323B" w:rsidRDefault="000F323B">
      <w:pPr>
        <w:spacing w:before="0" w:after="0"/>
      </w:pPr>
      <w:r>
        <w:continuationSeparator/>
      </w:r>
    </w:p>
  </w:footnote>
  <w:footnote w:id="1">
    <w:p w:rsidR="001449F2" w:rsidRDefault="002324A9">
      <w:pPr>
        <w:pStyle w:val="FootnoteText"/>
      </w:pPr>
      <w:r>
        <w:rPr>
          <w:rStyle w:val="FootnoteReference"/>
        </w:rPr>
        <w:footnoteRef/>
      </w:r>
      <w:r>
        <w:tab/>
        <w:t>ELT L 336, 27.12.1977, lk 15.</w:t>
      </w:r>
    </w:p>
  </w:footnote>
  <w:footnote w:id="2">
    <w:p w:rsidR="001449F2" w:rsidRDefault="002324A9">
      <w:pPr>
        <w:pStyle w:val="FootnoteText"/>
      </w:pPr>
      <w:r>
        <w:rPr>
          <w:rStyle w:val="FootnoteReference"/>
        </w:rPr>
        <w:footnoteRef/>
      </w:r>
      <w:r>
        <w:tab/>
        <w:t>Nõukogu 15. veebruari 2011. aasta direktiiv 2011/16/EL maksustamisalase halduskoostöö kohta ja direktiivi 77/799/EMÜ kehtetuks tunnistamise kohta (ELT L 64, 11.3.2011, lk 1).</w:t>
      </w:r>
    </w:p>
  </w:footnote>
  <w:footnote w:id="3">
    <w:p w:rsidR="001449F2" w:rsidRDefault="002324A9">
      <w:pPr>
        <w:pStyle w:val="FootnoteText"/>
        <w:ind w:left="142" w:hanging="142"/>
      </w:pPr>
      <w:r>
        <w:rPr>
          <w:rStyle w:val="FootnoteReference"/>
        </w:rPr>
        <w:footnoteRef/>
      </w:r>
      <w:r>
        <w:tab/>
      </w:r>
      <w:hyperlink r:id="rId1">
        <w:r>
          <w:rPr>
            <w:rStyle w:val="Hyperlink"/>
          </w:rPr>
          <w:t>http://ec.europa.eu/priorities/work-programme/index_en.htm</w:t>
        </w:r>
      </w:hyperlink>
      <w:r>
        <w:t xml:space="preserve"> </w:t>
      </w:r>
    </w:p>
  </w:footnote>
  <w:footnote w:id="4">
    <w:p w:rsidR="001449F2" w:rsidRDefault="002324A9">
      <w:pPr>
        <w:pStyle w:val="FootnoteText"/>
        <w:ind w:left="142" w:hanging="142"/>
      </w:pPr>
      <w:r>
        <w:rPr>
          <w:rStyle w:val="FootnoteReference"/>
        </w:rPr>
        <w:footnoteRef/>
      </w:r>
      <w:r>
        <w:tab/>
        <w:t xml:space="preserve">ELT L 359, 16.12.2014. </w:t>
      </w:r>
    </w:p>
  </w:footnote>
  <w:footnote w:id="5">
    <w:p w:rsidR="001449F2" w:rsidRDefault="002324A9">
      <w:pPr>
        <w:pStyle w:val="FootnoteText"/>
      </w:pPr>
      <w:r>
        <w:rPr>
          <w:rStyle w:val="FootnoteReference"/>
        </w:rPr>
        <w:footnoteRef/>
      </w:r>
      <w:r>
        <w:tab/>
        <w:t>ELT L 332, 18.12.2015.</w:t>
      </w:r>
    </w:p>
  </w:footnote>
  <w:footnote w:id="6">
    <w:p w:rsidR="001449F2" w:rsidRDefault="002324A9">
      <w:pPr>
        <w:spacing w:before="0" w:after="0"/>
        <w:ind w:left="142" w:hanging="142"/>
      </w:pPr>
      <w:r>
        <w:rPr>
          <w:rStyle w:val="FootnoteReference"/>
        </w:rPr>
        <w:footnoteRef/>
      </w:r>
      <w:r>
        <w:tab/>
      </w:r>
      <w:r>
        <w:rPr>
          <w:rStyle w:val="FootnoteReference"/>
        </w:rPr>
        <w:footnoteRef/>
      </w:r>
      <w:r>
        <w:rPr>
          <w:sz w:val="20"/>
        </w:rPr>
        <w:t>Euroopa Parlamendi 21. mai 2013. aasta resolutsioon maksupettuste, maksudest kõrvalehoidumise ja maksuparadiiside vastase võitluse kohta (Kleva raport) − (2013/2060(INI)).</w:t>
      </w:r>
    </w:p>
  </w:footnote>
  <w:footnote w:id="7">
    <w:p w:rsidR="001449F2" w:rsidRDefault="002324A9">
      <w:pPr>
        <w:spacing w:before="0" w:after="0"/>
        <w:ind w:left="142" w:hanging="142"/>
      </w:pPr>
      <w:r>
        <w:rPr>
          <w:rStyle w:val="FootnoteReference"/>
        </w:rPr>
        <w:footnoteRef/>
      </w:r>
      <w:r>
        <w:tab/>
      </w:r>
      <w:r>
        <w:rPr>
          <w:rStyle w:val="FootnoteReference"/>
        </w:rPr>
        <w:footnoteRef/>
      </w:r>
      <w:r>
        <w:rPr>
          <w:sz w:val="20"/>
        </w:rPr>
        <w:t>Euroopa Majandus- ja Sotsiaalkomitee 17. aprilli 2013. aasta arvamus komisjoni teatise kohta Euroopa Parlamendile ja nõukogule „Tegevuskava maksupettuste ja maksudest kõrvalehoidumise vastase võitluse tõhustamiseks”, COM(2012) 722 (final) (Dandea raport) – CESE 101/2013.</w:t>
      </w:r>
    </w:p>
  </w:footnote>
  <w:footnote w:id="8">
    <w:p w:rsidR="001449F2" w:rsidRDefault="002324A9">
      <w:pPr>
        <w:pStyle w:val="FootnoteText"/>
        <w:ind w:left="142" w:hanging="142"/>
      </w:pPr>
      <w:r>
        <w:rPr>
          <w:rStyle w:val="FootnoteReference"/>
        </w:rPr>
        <w:footnoteRef/>
      </w:r>
      <w:r>
        <w:tab/>
        <w:t xml:space="preserve">Käitumisjuhendi töörühma (äriühingute maksustamine) avalikke aruandeid võib näha </w:t>
      </w:r>
      <w:hyperlink r:id="rId2">
        <w:r>
          <w:rPr>
            <w:rStyle w:val="Hyperlink"/>
          </w:rPr>
          <w:t>siit</w:t>
        </w:r>
      </w:hyperlink>
      <w:r>
        <w:rPr>
          <w:rStyle w:val="Hyperlink"/>
        </w:rPr>
        <w:t>.</w:t>
      </w:r>
    </w:p>
  </w:footnote>
  <w:footnote w:id="9">
    <w:p w:rsidR="001449F2" w:rsidRDefault="002324A9">
      <w:pPr>
        <w:pStyle w:val="FootnoteText"/>
      </w:pPr>
      <w:r>
        <w:rPr>
          <w:rStyle w:val="FootnoteReference"/>
        </w:rPr>
        <w:footnoteRef/>
      </w:r>
      <w:r>
        <w:tab/>
        <w:t>ELT C , , lk .</w:t>
      </w:r>
    </w:p>
  </w:footnote>
  <w:footnote w:id="10">
    <w:p w:rsidR="001449F2" w:rsidRDefault="002324A9">
      <w:pPr>
        <w:pStyle w:val="FootnoteText"/>
      </w:pPr>
      <w:r>
        <w:rPr>
          <w:rStyle w:val="FootnoteReference"/>
        </w:rPr>
        <w:footnoteRef/>
      </w:r>
      <w:r>
        <w:tab/>
        <w:t>ELT C , , lk .</w:t>
      </w:r>
    </w:p>
  </w:footnote>
  <w:footnote w:id="11">
    <w:p w:rsidR="001449F2" w:rsidRDefault="002324A9">
      <w:pPr>
        <w:pStyle w:val="FootnoteText"/>
        <w:rPr>
          <w:szCs w:val="24"/>
        </w:rPr>
      </w:pPr>
      <w:r>
        <w:rPr>
          <w:rStyle w:val="FootnoteReference"/>
        </w:rPr>
        <w:footnoteRef/>
      </w:r>
      <w:r>
        <w:tab/>
        <w:t>ABM: tegevuspõhine juhtimine; ABB: tegevuspõhine eelarvestamine.</w:t>
      </w:r>
    </w:p>
  </w:footnote>
  <w:footnote w:id="12">
    <w:p w:rsidR="001449F2" w:rsidRDefault="002324A9">
      <w:pPr>
        <w:pStyle w:val="FootnoteText"/>
        <w:rPr>
          <w:szCs w:val="24"/>
        </w:rPr>
      </w:pPr>
      <w:r>
        <w:rPr>
          <w:rStyle w:val="FootnoteReference"/>
        </w:rPr>
        <w:footnoteRef/>
      </w:r>
      <w:r>
        <w:tab/>
        <w:t>Vastavalt finantsmääruse artikli 54 lõike 2 punktile a või b.</w:t>
      </w:r>
    </w:p>
  </w:footnote>
  <w:footnote w:id="13">
    <w:p w:rsidR="001449F2" w:rsidRDefault="002324A9">
      <w:pPr>
        <w:pStyle w:val="FootnoteText"/>
        <w:rPr>
          <w:szCs w:val="24"/>
        </w:rPr>
      </w:pPr>
      <w:r>
        <w:rPr>
          <w:rStyle w:val="FootnoteReference"/>
        </w:rPr>
        <w:footnoteRef/>
      </w:r>
      <w:r>
        <w:tab/>
        <w:t xml:space="preserve">Eelarve täitmise viise selgitatakse koos viidetega finantsmäärusele veebisaidil BudgWeb: </w:t>
      </w:r>
      <w:hyperlink r:id="rId3">
        <w:r>
          <w:rPr>
            <w:rStyle w:val="Hyperlink"/>
            <w:sz w:val="18"/>
          </w:rPr>
          <w:t>http://www.cc.cec/budg/man/budgmanag/budgmanag_en.html.</w:t>
        </w:r>
      </w:hyperlink>
    </w:p>
  </w:footnote>
  <w:footnote w:id="14">
    <w:p w:rsidR="001449F2" w:rsidRDefault="002324A9">
      <w:pPr>
        <w:pStyle w:val="FootnoteText"/>
        <w:rPr>
          <w:szCs w:val="24"/>
        </w:rPr>
      </w:pPr>
      <w:r>
        <w:rPr>
          <w:rStyle w:val="FootnoteReference"/>
        </w:rPr>
        <w:footnoteRef/>
      </w:r>
      <w:r>
        <w:tab/>
        <w:t>Liigendatud assigneeringud / liigendamata assigneeringud.</w:t>
      </w:r>
    </w:p>
  </w:footnote>
  <w:footnote w:id="15">
    <w:p w:rsidR="001449F2" w:rsidRDefault="002324A9">
      <w:pPr>
        <w:pStyle w:val="FootnoteText"/>
        <w:rPr>
          <w:szCs w:val="24"/>
        </w:rPr>
      </w:pPr>
      <w:r>
        <w:rPr>
          <w:rStyle w:val="FootnoteReference"/>
        </w:rPr>
        <w:footnoteRef/>
      </w:r>
      <w:r>
        <w:tab/>
        <w:t xml:space="preserve">EFTA: Euroopa Vabakaubanduse Assotsiatsioon. </w:t>
      </w:r>
    </w:p>
  </w:footnote>
  <w:footnote w:id="16">
    <w:p w:rsidR="001449F2" w:rsidRDefault="002324A9">
      <w:pPr>
        <w:pStyle w:val="FootnoteText"/>
        <w:rPr>
          <w:szCs w:val="24"/>
        </w:rPr>
      </w:pPr>
      <w:r>
        <w:rPr>
          <w:rStyle w:val="FootnoteReference"/>
        </w:rPr>
        <w:footnoteRef/>
      </w:r>
      <w:r>
        <w:tab/>
        <w:t>Kandidaatriigid ja vajaduse korral Lääne-Balkani potentsiaalsed kandidaatriigid.</w:t>
      </w:r>
    </w:p>
  </w:footnote>
  <w:footnote w:id="17">
    <w:p w:rsidR="001449F2" w:rsidRDefault="002324A9">
      <w:pPr>
        <w:pStyle w:val="FootnoteText"/>
        <w:rPr>
          <w:szCs w:val="24"/>
        </w:rPr>
      </w:pPr>
      <w:r>
        <w:rPr>
          <w:rStyle w:val="FootnoteReference"/>
        </w:rPr>
        <w:footnoteRef/>
      </w:r>
      <w:r>
        <w:tab/>
        <w:t>2016. aastal alustatakse ettepaneku/algatuse rakendamist.</w:t>
      </w:r>
    </w:p>
  </w:footnote>
  <w:footnote w:id="18">
    <w:p w:rsidR="001449F2" w:rsidRDefault="002324A9">
      <w:pPr>
        <w:pStyle w:val="FootnoteText"/>
        <w:rPr>
          <w:szCs w:val="24"/>
        </w:rPr>
      </w:pPr>
      <w:r>
        <w:rPr>
          <w:rStyle w:val="FootnoteReference"/>
        </w:rPr>
        <w:footnoteRef/>
      </w:r>
      <w:r>
        <w:tab/>
        <w:t>Tehniline ja/või haldusabi ning ELi programmide ja/või meetmete rakendamiseks antava toetusega seotud kulud (endised BA read), kaudne teadustegevus, otsene teadustegevus.</w:t>
      </w:r>
    </w:p>
  </w:footnote>
  <w:footnote w:id="19">
    <w:p w:rsidR="001449F2" w:rsidRDefault="002324A9">
      <w:pPr>
        <w:pStyle w:val="FootnoteText"/>
        <w:rPr>
          <w:szCs w:val="24"/>
        </w:rPr>
      </w:pPr>
      <w:r>
        <w:rPr>
          <w:rStyle w:val="FootnoteReference"/>
        </w:rPr>
        <w:footnoteRef/>
      </w:r>
      <w:r>
        <w:tab/>
        <w:t>2016. aastal alustatakse ettepaneku/algatuse rakendamist.</w:t>
      </w:r>
    </w:p>
  </w:footnote>
  <w:footnote w:id="20">
    <w:p w:rsidR="001449F2" w:rsidRDefault="002324A9">
      <w:pPr>
        <w:pStyle w:val="FootnoteText"/>
        <w:rPr>
          <w:szCs w:val="24"/>
        </w:rPr>
      </w:pPr>
      <w:r>
        <w:rPr>
          <w:rStyle w:val="FootnoteReference"/>
        </w:rPr>
        <w:footnoteRef/>
      </w:r>
      <w:r>
        <w:tab/>
        <w:t>Väljundid on tarnitavad kaubad ja teenused (nt: rahastatud üliõpilasvahetuste arv, ehitatud teede pikkus kilomeetrites jms).</w:t>
      </w:r>
    </w:p>
  </w:footnote>
  <w:footnote w:id="21">
    <w:p w:rsidR="001449F2" w:rsidRDefault="002324A9">
      <w:pPr>
        <w:pStyle w:val="FootnoteText"/>
        <w:rPr>
          <w:szCs w:val="24"/>
        </w:rPr>
      </w:pPr>
      <w:r>
        <w:rPr>
          <w:rStyle w:val="FootnoteReference"/>
        </w:rPr>
        <w:footnoteRef/>
      </w:r>
      <w:r>
        <w:tab/>
        <w:t xml:space="preserve">Vastavalt punktis 1.4.2 nimetatud erieesmärkidele. „Erieesmärk/eesmärgid ...” </w:t>
      </w:r>
    </w:p>
  </w:footnote>
  <w:footnote w:id="22">
    <w:p w:rsidR="001449F2" w:rsidRDefault="002324A9">
      <w:pPr>
        <w:pStyle w:val="FootnoteText"/>
        <w:rPr>
          <w:szCs w:val="24"/>
        </w:rPr>
      </w:pPr>
      <w:r>
        <w:rPr>
          <w:rStyle w:val="FootnoteReference"/>
        </w:rPr>
        <w:footnoteRef/>
      </w:r>
      <w:r>
        <w:tab/>
        <w:t>Aasta, mil alustatakse ettepaneku/algatuse rakendamist.</w:t>
      </w:r>
    </w:p>
  </w:footnote>
  <w:footnote w:id="23">
    <w:p w:rsidR="001449F2" w:rsidRDefault="002324A9">
      <w:pPr>
        <w:pStyle w:val="FootnoteText"/>
        <w:rPr>
          <w:szCs w:val="24"/>
        </w:rPr>
      </w:pPr>
      <w:r>
        <w:rPr>
          <w:rStyle w:val="FootnoteReference"/>
        </w:rPr>
        <w:footnoteRef/>
      </w:r>
      <w:r>
        <w:tab/>
        <w:t>Tehniline ja/või haldusabi ning ELi programmide ja/või meetmete rakendamiseks antava toetusega seotud kulud (endised B..A read), otsene teadustegevus, kaudne teadustegevus.</w:t>
      </w:r>
    </w:p>
  </w:footnote>
  <w:footnote w:id="24">
    <w:p w:rsidR="001449F2" w:rsidRDefault="002324A9">
      <w:pPr>
        <w:pStyle w:val="FootnoteText"/>
        <w:rPr>
          <w:szCs w:val="24"/>
        </w:rPr>
      </w:pPr>
      <w:r>
        <w:rPr>
          <w:rStyle w:val="FootnoteReference"/>
        </w:rPr>
        <w:footnoteRef/>
      </w:r>
      <w:r>
        <w:tab/>
        <w:t xml:space="preserve">lepingulised töötajad, kohalikud töötajad, riikide lähetatud töötajad, renditud tööjõud, noored eksperdid delegatsioonides. </w:t>
      </w:r>
    </w:p>
  </w:footnote>
  <w:footnote w:id="25">
    <w:p w:rsidR="001449F2" w:rsidRDefault="002324A9">
      <w:pPr>
        <w:pStyle w:val="FootnoteText"/>
        <w:rPr>
          <w:szCs w:val="24"/>
        </w:rPr>
      </w:pPr>
      <w:r>
        <w:rPr>
          <w:rStyle w:val="FootnoteReference"/>
        </w:rPr>
        <w:footnoteRef/>
      </w:r>
      <w:r>
        <w:tab/>
        <w:t>Tegevusassigneeringutest rahastatavate koosseisuväliste töötajate ülempiiri arvestades (endised BA read).</w:t>
      </w:r>
    </w:p>
  </w:footnote>
  <w:footnote w:id="26">
    <w:p w:rsidR="001449F2" w:rsidRDefault="002324A9">
      <w:pPr>
        <w:pStyle w:val="FootnoteText"/>
        <w:rPr>
          <w:szCs w:val="24"/>
        </w:rPr>
      </w:pPr>
      <w:r>
        <w:rPr>
          <w:rStyle w:val="FootnoteReference"/>
        </w:rPr>
        <w:footnoteRef/>
      </w:r>
      <w:r>
        <w:tab/>
        <w:t>Traditsiooniliste omavahendite (tollimaksud, suhkrumaks) korral tuleb näidata netosummad, st brutosumma, milles on lahutatud 25 % kogumiskuludena.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7A59CB" w:rsidRDefault="002324A9" w:rsidP="007A59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2324A9" w:rsidRDefault="002324A9" w:rsidP="00232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7A59CB" w:rsidRDefault="002324A9" w:rsidP="007A59C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7A59CB" w:rsidRDefault="002324A9" w:rsidP="007A59C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B" w:rsidRPr="002324A9" w:rsidRDefault="007A59CB" w:rsidP="002324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B" w:rsidRPr="002324A9" w:rsidRDefault="007A59CB" w:rsidP="002324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B" w:rsidRPr="002324A9" w:rsidRDefault="007A59CB" w:rsidP="002324A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F2" w:rsidRDefault="001449F2" w:rsidP="002324A9">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A9" w:rsidRPr="002324A9" w:rsidRDefault="002324A9" w:rsidP="002324A9">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F2" w:rsidRDefault="001449F2" w:rsidP="00232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31CB61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D743B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54CAAE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718797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680386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 w:numId="29">
    <w:abstractNumId w:val="18"/>
  </w:num>
  <w:num w:numId="30">
    <w:abstractNumId w:val="10"/>
  </w:num>
  <w:num w:numId="31">
    <w:abstractNumId w:val="21"/>
  </w:num>
  <w:num w:numId="32">
    <w:abstractNumId w:val="9"/>
  </w:num>
  <w:num w:numId="33">
    <w:abstractNumId w:val="11"/>
  </w:num>
  <w:num w:numId="34">
    <w:abstractNumId w:val="7"/>
  </w:num>
  <w:num w:numId="35">
    <w:abstractNumId w:val="20"/>
  </w:num>
  <w:num w:numId="36">
    <w:abstractNumId w:val="6"/>
  </w:num>
  <w:num w:numId="37">
    <w:abstractNumId w:val="12"/>
  </w:num>
  <w:num w:numId="38">
    <w:abstractNumId w:val="16"/>
  </w:num>
  <w:num w:numId="39">
    <w:abstractNumId w:val="17"/>
  </w:num>
  <w:num w:numId="40">
    <w:abstractNumId w:val="8"/>
  </w:num>
  <w:num w:numId="41">
    <w:abstractNumId w:val="15"/>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_EXISTS" w:val="True"/>
    <w:docVar w:name="CoverPageOnWordDoc" w:val="false"/>
    <w:docVar w:name="DocuWriteMetaData" w:val="&lt;metadataset docuwriteversion=&quot;3.7.7&quot; technicalblockguid=&quot;4146f7c8-fe88-4011-aa99-0d951613faab&quot;&gt;_x000d__x000a_  &lt;metadata key=&quot;md_DocumentLanguages&quot;&gt;_x000d__x000a_    &lt;basicdatatypelist&gt;_x000d__x000a_      &lt;language key=&quot;ET&quot; text=&quot;ET&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ETTEPANEK&quot; /&gt;_x000d__x000a_    &lt;/basicdatatype&gt;_x000d__x000a_  &lt;/metadata&gt;_x000d__x000a_  &lt;metadata key=&quot;md_HeadingText&quot;&gt;_x000d__x000a_    &lt;headingtext text=&quot;ETTEPANEK&quot;&gt;_x000d__x000a_      &lt;formattedtext&gt;_x000d__x000a_        &lt;xaml text=&quot;ETTEPANEK&quot;&gt;&amp;lt;FlowDocument xmlns=&quot;http://schemas.microsoft.com/winfx/2006/xaml/presentation&quot;&amp;gt;&amp;lt;Paragraph&amp;gt;ETTEPANEK&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Euroopa Liidu Nõukogu&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üssel&quot; /&gt;_x000d__x000a_    &lt;/basicdatatype&gt;_x000d__x000a_  &lt;/metadata&gt;_x000d__x000a_  &lt;metadata key=&quot;md_DocumentDate&quot;&gt;_x000d__x000a_    &lt;text&gt;2016-01-28&lt;/text&gt;_x000d__x000a_  &lt;/metadata&gt;_x000d__x000a_  &lt;metadata key=&quot;md_Prefix&quot;&gt;_x000d__x000a_    &lt;text&gt;&lt;/text&gt;_x000d__x000a_  &lt;/metadata&gt;_x000d__x000a_  &lt;metadata key=&quot;md_DocumentNumber&quot;&gt;_x000d__x000a_    &lt;text&gt;5638&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ISC 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010 (CNS)&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Euroopa Komisjoni peasekretär, allkirjastanud Jordi AYET PUIGARNAU, direktor&quot; /&gt;_x000d__x000a_    &lt;/basicdatatype&gt;_x000d__x000a_  &lt;/metadata&gt;_x000d__x000a_  &lt;metadata key=&quot;md_Recipient&quot;&gt;_x000d__x000a_    &lt;basicdatatype&gt;_x000d__x000a_      &lt;recipient key=&quot;re_02&quot; text=&quot;Jeppe TRANHOLM-MIKKELSEN, Euroopa Liidu Nõukogu peasekretär&quot; /&gt;_x000d__x000a_    &lt;/basicdatatype&gt;_x000d__x000a_  &lt;/metadata&gt;_x000d__x000a_  &lt;metadata key=&quot;md_DateOfReceipt&quot;&gt;_x000d__x000a_    &lt;text&gt;2016-01-28&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6) 25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Ettepanek: NÕUKOGU DIREKTIIV, millega muudetakse direktiivi 2011/16/EL seoses kohustusliku automaatse teabevahetusega maksustamise valdkonnas&quot;&gt;&amp;lt;FlowDocument FontFamily=&quot;Arial Unicode MS&quot; FontSize=&quot;12&quot; PagePadding=&quot;5,0,5,0&quot; AllowDrop=&quot;False&quot; xmlns=&quot;http://schemas.microsoft.com/winfx/2006/xaml/presentation&quot;&amp;gt;&amp;lt;Paragraph&amp;gt;Ettepanek: NÕUKOGU DIREKTIIV, millega muudetakse direktiivi 2011/16/EL seoses kohustusliku automaatse teabevahetusega maksustamise valdkonnas&amp;lt;/Paragraph&amp;gt;&amp;lt;/FlowDocument&amp;gt;&lt;/xaml&gt;_x000d__x000a_  &lt;/metadata&gt;_x000d__x000a_  &lt;metadata key=&quot;md_SubjectFootnote&quot; /&gt;_x000d__x000a_  &lt;metadata key=&quot;md_DG&quot;&gt;_x000d__x000a_    &lt;text&gt;DG G 2B&lt;/text&gt;_x000d__x000a_  &lt;/metadata&gt;_x000d__x000a_  &lt;metadata key=&quot;md_Initials&quot;&gt;_x000d__x000a_    &lt;text&gt;plu&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T&lt;/text&gt;_x000d__x000a_  &lt;/metadata&gt;_x000d__x000a_  &lt;metadata key=&quot;md_SourceDocType&quot;&gt;_x000d__x000a_    &lt;text&gt;Ettepanek: _x000d__x000a_NÕUKOGU DIREKTIIV,&lt;/text&gt;_x000d__x000a_  &lt;/metadata&gt;_x000d__x000a_  &lt;metadata key=&quot;md_SourceDocTitle&quot;&gt;_x000d__x000a_    &lt;text&gt;millega muudetakse direktiivi 2011/16/EL seoses kohustusliku automaatse teabevahetusega maksustamise valdkonnas&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lt;/metadataset&gt;"/>
    <w:docVar w:name="DQCDateTime" w:val="2016-02-02 15:42: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45"/>
    <w:docVar w:name="DQCStatus" w:val="Yellow"/>
    <w:docVar w:name="DQCVersion" w:val="3"/>
    <w:docVar w:name="DQCWithWarnings" w:val="0"/>
    <w:docVar w:name="LW_CONFIDENCE" w:val=" "/>
    <w:docVar w:name="LW_CONST_RESTREINT_UE" w:val="RESTREINT UE/EU RESTRICTED"/>
    <w:docVar w:name="LW_CORRIGENDUM" w:val="&lt;UNUSED&gt;"/>
    <w:docVar w:name="LW_COVERPAGE_GUID" w:val="9B46440C0A634B91B75D834DA45BDB0C"/>
    <w:docVar w:name="LW_CROSSREFERENCE" w:val="&lt;UNUSED&gt;"/>
    <w:docVar w:name="LW_DocType" w:val="COM"/>
    <w:docVar w:name="LW_EMISSION" w:val="28.1.2016"/>
    <w:docVar w:name="LW_EMISSION_ISODATE" w:val="2016-01-28"/>
    <w:docVar w:name="LW_EMISSION_LOCATION" w:val="BRX"/>
    <w:docVar w:name="LW_EMISSION_PREFIX" w:val="Brüssel,"/>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T"/>
    <w:docVar w:name="LW_MARKING" w:val="&lt;UNUSED&gt;"/>
    <w:docVar w:name="LW_NOM.INST" w:val="EUROOPA KOMISJON"/>
    <w:docVar w:name="LW_NOM.INST_JOINTDOC" w:val="&lt;EMPTY&gt;"/>
    <w:docVar w:name="LW_PART_NBR" w:val="1"/>
    <w:docVar w:name="LW_PART_NBR_TOTAL" w:val="1"/>
    <w:docVar w:name="LW_REF.II.NEW.CP" w:val="CNS"/>
    <w:docVar w:name="LW_REF.II.NEW.CP_NUMBER" w:val="0010"/>
    <w:docVar w:name="LW_REF.II.NEW.CP_YEAR" w:val="2016"/>
    <w:docVar w:name="LW_REF.INST.NEW" w:val="COM"/>
    <w:docVar w:name="LW_REF.INST.NEW_ADOPTED" w:val="final"/>
    <w:docVar w:name="LW_REF.INST.NEW_TEXT" w:val="(2016) 25"/>
    <w:docVar w:name="LW_REF.INTERNE" w:val="&lt;UNUSED&gt;"/>
    <w:docVar w:name="LW_SOUS.TITRE.OBJ.CP" w:val="&lt;UNUSED&gt;"/>
    <w:docVar w:name="LW_STATUT.CP" w:val="Ettepanek:"/>
    <w:docVar w:name="LW_SUPERTITRE" w:val="&lt;UNUSED&gt;"/>
    <w:docVar w:name="LW_TITRE.OBJ.CP" w:val="millega muudetakse direktiivi 2011/16/EL seoses kohustusliku automaatse teabevahetusega maksustamise valdkonnas"/>
    <w:docVar w:name="LW_TYPE.DOC.CP" w:val="NÕUKOGU DIREKTIIV,"/>
  </w:docVars>
  <w:rsids>
    <w:rsidRoot w:val="001449F2"/>
    <w:rsid w:val="000F323B"/>
    <w:rsid w:val="001449F2"/>
    <w:rsid w:val="002324A9"/>
    <w:rsid w:val="00243171"/>
    <w:rsid w:val="003668ED"/>
    <w:rsid w:val="0064647E"/>
    <w:rsid w:val="007A59CB"/>
    <w:rsid w:val="00EB3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EFBE5-CB28-4A40-B683-90E5062F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1">
    <w:name w:val="Tex1"/>
    <w:basedOn w:val="Normal"/>
    <w:pPr>
      <w:pBdr>
        <w:top w:val="single" w:sz="4" w:space="1" w:color="auto"/>
        <w:left w:val="single" w:sz="4" w:space="4" w:color="auto"/>
        <w:bottom w:val="single" w:sz="4" w:space="1" w:color="auto"/>
        <w:right w:val="single" w:sz="4" w:space="4" w:color="auto"/>
      </w:pBdr>
      <w:ind w:left="850"/>
    </w:p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NoList1">
    <w:name w:val="No List1"/>
    <w:next w:val="NoList"/>
    <w:uiPriority w:val="99"/>
    <w:semiHidden/>
    <w:unhideWhenUsed/>
  </w:style>
  <w:style w:type="paragraph" w:customStyle="1" w:styleId="Hedin">
    <w:name w:val="Hedin"/>
    <w:basedOn w:val="Normal"/>
    <w:pPr>
      <w:keepNext/>
      <w:tabs>
        <w:tab w:val="num" w:pos="850"/>
      </w:tabs>
      <w:ind w:left="850" w:hanging="850"/>
      <w:outlineLvl w:val="1"/>
    </w:pPr>
    <w:rPr>
      <w:rFonts w:eastAsiaTheme="majorEastAsia"/>
      <w:b/>
      <w:bCs/>
      <w:szCs w:val="26"/>
      <w:lang w:eastAsia="et-EE" w:bidi="et-EE"/>
    </w:rPr>
  </w:style>
  <w:style w:type="paragraph" w:styleId="Header">
    <w:name w:val="header"/>
    <w:basedOn w:val="Normal"/>
    <w:link w:val="HeaderChar"/>
    <w:uiPriority w:val="99"/>
    <w:unhideWhenUsed/>
    <w:rsid w:val="002324A9"/>
    <w:pPr>
      <w:tabs>
        <w:tab w:val="center" w:pos="4535"/>
        <w:tab w:val="right" w:pos="9071"/>
      </w:tabs>
      <w:spacing w:before="0"/>
    </w:pPr>
  </w:style>
  <w:style w:type="character" w:customStyle="1" w:styleId="HeaderChar">
    <w:name w:val="Header Char"/>
    <w:basedOn w:val="DefaultParagraphFont"/>
    <w:link w:val="Header"/>
    <w:uiPriority w:val="99"/>
    <w:rsid w:val="002324A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324A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7A59CB"/>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7A59CB"/>
    <w:pPr>
      <w:spacing w:before="0" w:after="240"/>
      <w:jc w:val="center"/>
    </w:pPr>
  </w:style>
  <w:style w:type="character" w:customStyle="1" w:styleId="TechnicalBlockChar">
    <w:name w:val="Technical Block Char"/>
    <w:basedOn w:val="DefaultParagraphFont"/>
    <w:link w:val="TechnicalBlock"/>
    <w:rsid w:val="007A59CB"/>
    <w:rPr>
      <w:rFonts w:ascii="Times New Roman" w:hAnsi="Times New Roman" w:cs="Times New Roman"/>
      <w:sz w:val="24"/>
      <w:lang w:val="et-EE"/>
    </w:rPr>
  </w:style>
  <w:style w:type="paragraph" w:customStyle="1" w:styleId="Lignefinal">
    <w:name w:val="Ligne final"/>
    <w:basedOn w:val="Normal"/>
    <w:next w:val="Normal"/>
    <w:rsid w:val="007A59CB"/>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
    <w:rsid w:val="007A59CB"/>
    <w:pPr>
      <w:spacing w:line="360" w:lineRule="auto"/>
      <w:jc w:val="left"/>
    </w:pPr>
    <w:rPr>
      <w:rFonts w:eastAsia="Times New Roman"/>
      <w:szCs w:val="24"/>
    </w:rPr>
  </w:style>
  <w:style w:type="paragraph" w:customStyle="1" w:styleId="pj">
    <w:name w:val="p.j."/>
    <w:basedOn w:val="Normal"/>
    <w:link w:val="pjChar"/>
    <w:rsid w:val="007A59CB"/>
    <w:pPr>
      <w:spacing w:before="1200"/>
      <w:ind w:left="1440" w:hanging="1440"/>
      <w:jc w:val="left"/>
    </w:pPr>
  </w:style>
  <w:style w:type="character" w:customStyle="1" w:styleId="pjChar">
    <w:name w:val="p.j. Char"/>
    <w:basedOn w:val="TechnicalBlockChar"/>
    <w:link w:val="pj"/>
    <w:rsid w:val="007A59CB"/>
    <w:rPr>
      <w:rFonts w:ascii="Times New Roman" w:hAnsi="Times New Roman" w:cs="Times New Roman"/>
      <w:sz w:val="24"/>
      <w:lang w:val="et-EE"/>
    </w:rPr>
  </w:style>
  <w:style w:type="paragraph" w:customStyle="1" w:styleId="HeaderCouncil">
    <w:name w:val="Header Council"/>
    <w:basedOn w:val="Normal"/>
    <w:link w:val="HeaderCouncilChar"/>
    <w:rsid w:val="007A59CB"/>
    <w:pPr>
      <w:spacing w:before="0" w:after="0"/>
    </w:pPr>
    <w:rPr>
      <w:sz w:val="2"/>
    </w:rPr>
  </w:style>
  <w:style w:type="character" w:customStyle="1" w:styleId="HeaderCouncilChar">
    <w:name w:val="Header Council Char"/>
    <w:basedOn w:val="pjChar"/>
    <w:link w:val="HeaderCouncil"/>
    <w:rsid w:val="007A59CB"/>
    <w:rPr>
      <w:rFonts w:ascii="Times New Roman" w:hAnsi="Times New Roman" w:cs="Times New Roman"/>
      <w:sz w:val="2"/>
      <w:lang w:val="et-EE"/>
    </w:rPr>
  </w:style>
  <w:style w:type="paragraph" w:customStyle="1" w:styleId="HeaderCouncilLarge">
    <w:name w:val="Header Council Large"/>
    <w:basedOn w:val="Normal"/>
    <w:link w:val="HeaderCouncilLargeChar"/>
    <w:rsid w:val="007A59CB"/>
    <w:pPr>
      <w:spacing w:before="0" w:after="440"/>
    </w:pPr>
    <w:rPr>
      <w:sz w:val="2"/>
    </w:rPr>
  </w:style>
  <w:style w:type="character" w:customStyle="1" w:styleId="HeaderCouncilLargeChar">
    <w:name w:val="Header Council Large Char"/>
    <w:basedOn w:val="pjChar"/>
    <w:link w:val="HeaderCouncilLarge"/>
    <w:rsid w:val="007A59CB"/>
    <w:rPr>
      <w:rFonts w:ascii="Times New Roman" w:hAnsi="Times New Roman" w:cs="Times New Roman"/>
      <w:sz w:val="2"/>
      <w:lang w:val="et-EE"/>
    </w:rPr>
  </w:style>
  <w:style w:type="paragraph" w:customStyle="1" w:styleId="FooterCouncil">
    <w:name w:val="Footer Council"/>
    <w:basedOn w:val="Normal"/>
    <w:link w:val="FooterCouncilChar"/>
    <w:rsid w:val="007A59CB"/>
    <w:pPr>
      <w:spacing w:before="0" w:after="0"/>
    </w:pPr>
    <w:rPr>
      <w:sz w:val="2"/>
    </w:rPr>
  </w:style>
  <w:style w:type="character" w:customStyle="1" w:styleId="FooterCouncilChar">
    <w:name w:val="Footer Council Char"/>
    <w:basedOn w:val="pjChar"/>
    <w:link w:val="FooterCouncil"/>
    <w:rsid w:val="007A59CB"/>
    <w:rPr>
      <w:rFonts w:ascii="Times New Roman" w:hAnsi="Times New Roman" w:cs="Times New Roman"/>
      <w:sz w:val="2"/>
      <w:lang w:val="et-EE"/>
    </w:rPr>
  </w:style>
  <w:style w:type="paragraph" w:customStyle="1" w:styleId="FooterText">
    <w:name w:val="Footer Text"/>
    <w:basedOn w:val="Normal"/>
    <w:rsid w:val="007A59CB"/>
    <w:pPr>
      <w:spacing w:before="0" w:after="0"/>
      <w:jc w:val="left"/>
    </w:pPr>
    <w:rPr>
      <w:rFonts w:eastAsia="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www.consilium.europa.eu/register/en/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1" Type="http://schemas.openxmlformats.org/officeDocument/2006/relationships/hyperlink" Target="http://ec.europa.eu/priorities/work-programme/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55E9-3AAE-4E32-8635-FB0B8EBA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37</Pages>
  <Words>8980</Words>
  <Characters>51192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60052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LUIK Piret</dc:creator>
  <cp:lastModifiedBy>Gea Otsa</cp:lastModifiedBy>
  <cp:revision>2</cp:revision>
  <cp:lastPrinted>2016-01-22T09:02:00Z</cp:lastPrinted>
  <dcterms:created xsi:type="dcterms:W3CDTF">2016-03-08T12:56:00Z</dcterms:created>
  <dcterms:modified xsi:type="dcterms:W3CDTF">2016-03-08T12:56:00Z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DocuWrite 3.7.7, Build 20151207</vt:lpwstr>
  </property>
  <property fmtid="{D5CDD505-2E9C-101B-9397-08002B2CF9AE}" pid="6" name="Created using">
    <vt:lpwstr>DocuWrite 3.7.7, Build 20151207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