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8F9DB8" w14:textId="77777777" w:rsidR="00F10C57" w:rsidRPr="00117B74" w:rsidRDefault="00F10C57" w:rsidP="00D75E47">
      <w:pPr>
        <w:pStyle w:val="Title"/>
        <w:jc w:val="both"/>
        <w:outlineLvl w:val="0"/>
      </w:pPr>
      <w:bookmarkStart w:id="0" w:name="_GoBack"/>
      <w:bookmarkEnd w:id="0"/>
    </w:p>
    <w:p w14:paraId="6EA272E8" w14:textId="77777777" w:rsidR="00F10C57" w:rsidRPr="00117B74" w:rsidRDefault="00F10C57" w:rsidP="00D75E47">
      <w:pPr>
        <w:pStyle w:val="Title"/>
        <w:jc w:val="both"/>
        <w:outlineLvl w:val="0"/>
      </w:pPr>
    </w:p>
    <w:p w14:paraId="691F3107" w14:textId="77777777" w:rsidR="00F10C57" w:rsidRPr="00117B74" w:rsidRDefault="00F10C57" w:rsidP="00D75E47">
      <w:pPr>
        <w:pStyle w:val="Title"/>
        <w:ind w:right="135"/>
        <w:outlineLvl w:val="0"/>
      </w:pPr>
      <w:r w:rsidRPr="00117B74">
        <w:t>Seletuskiri</w:t>
      </w:r>
    </w:p>
    <w:p w14:paraId="6CA8D865" w14:textId="77777777" w:rsidR="00F10C57" w:rsidRPr="00117B74" w:rsidRDefault="00F10C57" w:rsidP="00D75E47">
      <w:pPr>
        <w:pStyle w:val="BodyText"/>
        <w:ind w:right="135"/>
        <w:jc w:val="center"/>
        <w:rPr>
          <w:b/>
          <w:bCs/>
        </w:rPr>
      </w:pPr>
    </w:p>
    <w:p w14:paraId="24828863" w14:textId="5B86231B" w:rsidR="00F10C57" w:rsidRPr="00117B74" w:rsidRDefault="001E6100" w:rsidP="00D75E47">
      <w:pPr>
        <w:jc w:val="center"/>
        <w:outlineLvl w:val="0"/>
        <w:rPr>
          <w:b/>
          <w:bCs/>
        </w:rPr>
      </w:pPr>
      <w:r>
        <w:rPr>
          <w:b/>
          <w:bCs/>
        </w:rPr>
        <w:t>E</w:t>
      </w:r>
      <w:r w:rsidR="00042F71">
        <w:rPr>
          <w:b/>
          <w:bCs/>
        </w:rPr>
        <w:t>ttevõtlusministri</w:t>
      </w:r>
      <w:r w:rsidR="00042F71" w:rsidRPr="00042F71">
        <w:rPr>
          <w:b/>
          <w:bCs/>
        </w:rPr>
        <w:t xml:space="preserve"> </w:t>
      </w:r>
      <w:r w:rsidR="0056025D">
        <w:rPr>
          <w:b/>
          <w:bCs/>
        </w:rPr>
        <w:t xml:space="preserve">määruse </w:t>
      </w:r>
      <w:r>
        <w:rPr>
          <w:b/>
          <w:bCs/>
        </w:rPr>
        <w:t>„</w:t>
      </w:r>
      <w:r w:rsidR="00C22E6A">
        <w:rPr>
          <w:b/>
          <w:bCs/>
        </w:rPr>
        <w:t>Ettevõtte</w:t>
      </w:r>
      <w:r w:rsidR="0056025D">
        <w:rPr>
          <w:b/>
          <w:bCs/>
        </w:rPr>
        <w:t xml:space="preserve"> arenguprogrammi toetusmeede</w:t>
      </w:r>
      <w:r w:rsidR="00F10C57" w:rsidRPr="00117B74">
        <w:rPr>
          <w:b/>
          <w:bCs/>
          <w:kern w:val="36"/>
          <w:lang w:eastAsia="et-EE"/>
        </w:rPr>
        <w:t>“ eelnõu juurde</w:t>
      </w:r>
    </w:p>
    <w:p w14:paraId="3EB714CF" w14:textId="77777777" w:rsidR="00F10C57" w:rsidRPr="00117B74" w:rsidRDefault="00F10C57" w:rsidP="00D75E47">
      <w:pPr>
        <w:jc w:val="center"/>
        <w:rPr>
          <w:b/>
          <w:bCs/>
        </w:rPr>
      </w:pPr>
    </w:p>
    <w:p w14:paraId="10A610AF" w14:textId="77777777" w:rsidR="00F10C57" w:rsidRPr="00117B74" w:rsidRDefault="00F10C57" w:rsidP="00D75E47">
      <w:pPr>
        <w:jc w:val="both"/>
        <w:rPr>
          <w:b/>
          <w:bCs/>
        </w:rPr>
      </w:pPr>
    </w:p>
    <w:p w14:paraId="4DDAC7FD" w14:textId="77777777" w:rsidR="00F10C57" w:rsidRPr="00117B74" w:rsidRDefault="00F10C57" w:rsidP="00D75E47">
      <w:pPr>
        <w:widowControl w:val="0"/>
        <w:tabs>
          <w:tab w:val="center" w:pos="7768"/>
          <w:tab w:val="right" w:pos="11921"/>
        </w:tabs>
        <w:autoSpaceDE w:val="0"/>
        <w:jc w:val="both"/>
        <w:rPr>
          <w:b/>
          <w:bCs/>
        </w:rPr>
      </w:pPr>
      <w:r w:rsidRPr="00117B74">
        <w:rPr>
          <w:b/>
          <w:bCs/>
        </w:rPr>
        <w:t>1. Sissejuhatus</w:t>
      </w:r>
    </w:p>
    <w:p w14:paraId="5D371A83" w14:textId="77777777" w:rsidR="00F10C57" w:rsidRPr="002E6552" w:rsidRDefault="00F10C57" w:rsidP="00433BDE">
      <w:pPr>
        <w:pStyle w:val="BodyText"/>
        <w:spacing w:after="120"/>
        <w:rPr>
          <w:lang w:eastAsia="et-EE"/>
        </w:rPr>
      </w:pPr>
      <w:r w:rsidRPr="002E6552">
        <w:t xml:space="preserve">Käesoleva määruse eelnõu (edaspidi </w:t>
      </w:r>
      <w:r w:rsidRPr="002E6552">
        <w:rPr>
          <w:i/>
        </w:rPr>
        <w:t>eelnõu</w:t>
      </w:r>
      <w:r w:rsidRPr="002E6552">
        <w:t xml:space="preserve">) abil viiakse ellu </w:t>
      </w:r>
      <w:r w:rsidRPr="002E6552">
        <w:rPr>
          <w:lang w:eastAsia="et-EE"/>
        </w:rPr>
        <w:t xml:space="preserve">„Ühtekuuluvuspoliitika fondide rakenduskava 2014-2020“ (edaspidi </w:t>
      </w:r>
      <w:r w:rsidRPr="002E6552">
        <w:rPr>
          <w:i/>
          <w:iCs/>
          <w:lang w:eastAsia="et-EE"/>
        </w:rPr>
        <w:t>rakenduskava</w:t>
      </w:r>
      <w:r w:rsidRPr="002E6552">
        <w:rPr>
          <w:lang w:eastAsia="et-EE"/>
        </w:rPr>
        <w:t xml:space="preserve">) prioriteetse suuna </w:t>
      </w:r>
      <w:r w:rsidR="00042F71" w:rsidRPr="002E6552">
        <w:rPr>
          <w:lang w:eastAsia="et-EE"/>
        </w:rPr>
        <w:t>„Kasvuvõimeline ettevõtlus ja seda toetav teadus- ja arendustegevus“ meetme „</w:t>
      </w:r>
      <w:r w:rsidR="00EF309A" w:rsidRPr="00EF309A">
        <w:rPr>
          <w:lang w:eastAsia="et-EE"/>
        </w:rPr>
        <w:t>Ettevõtja arenguplaani toetusmeede  ettevõtete arendus- ja eksporditegevustele kaasaaitamiseks ning juhtimisvõimekuse tõstmiseks</w:t>
      </w:r>
      <w:r w:rsidR="00042F71" w:rsidRPr="002E6552">
        <w:rPr>
          <w:lang w:eastAsia="et-EE"/>
        </w:rPr>
        <w:t xml:space="preserve">“ </w:t>
      </w:r>
      <w:r w:rsidR="00695ED0">
        <w:rPr>
          <w:lang w:eastAsia="et-EE"/>
        </w:rPr>
        <w:t xml:space="preserve">(edaspidi </w:t>
      </w:r>
      <w:r w:rsidR="00695ED0">
        <w:rPr>
          <w:i/>
          <w:lang w:eastAsia="et-EE"/>
        </w:rPr>
        <w:t>meede</w:t>
      </w:r>
      <w:r w:rsidR="00695ED0" w:rsidRPr="00695ED0">
        <w:rPr>
          <w:lang w:eastAsia="et-EE"/>
        </w:rPr>
        <w:t>)</w:t>
      </w:r>
      <w:r w:rsidR="00695ED0">
        <w:rPr>
          <w:i/>
          <w:lang w:eastAsia="et-EE"/>
        </w:rPr>
        <w:t xml:space="preserve"> </w:t>
      </w:r>
      <w:r w:rsidR="0022238D" w:rsidRPr="002E6552">
        <w:rPr>
          <w:lang w:eastAsia="et-EE"/>
        </w:rPr>
        <w:t xml:space="preserve">eesmärke. </w:t>
      </w:r>
    </w:p>
    <w:p w14:paraId="2600F91F" w14:textId="77777777" w:rsidR="00F10C57" w:rsidRPr="002E6552" w:rsidRDefault="00F10C57" w:rsidP="00433BDE">
      <w:pPr>
        <w:pStyle w:val="BodyText"/>
        <w:spacing w:after="120"/>
      </w:pPr>
      <w:r w:rsidRPr="002E6552">
        <w:rPr>
          <w:noProof/>
        </w:rPr>
        <w:t xml:space="preserve">Eelnõu on suunatud meetme tegevuse </w:t>
      </w:r>
      <w:r w:rsidR="0022238D" w:rsidRPr="002E6552">
        <w:rPr>
          <w:noProof/>
        </w:rPr>
        <w:t>„</w:t>
      </w:r>
      <w:r w:rsidR="00EF309A" w:rsidRPr="00EF309A">
        <w:rPr>
          <w:noProof/>
        </w:rPr>
        <w:t>Arenguvajaduste välja selgitamine ja ettevõtete arendustegevused</w:t>
      </w:r>
      <w:r w:rsidR="0022238D" w:rsidRPr="002E6552">
        <w:rPr>
          <w:noProof/>
        </w:rPr>
        <w:t xml:space="preserve">“ </w:t>
      </w:r>
      <w:r w:rsidRPr="002E6552">
        <w:t>eesmärkide täitmiseks.</w:t>
      </w:r>
    </w:p>
    <w:p w14:paraId="0E61D276" w14:textId="4DA9BA87" w:rsidR="00F10C57" w:rsidRPr="002E6552" w:rsidRDefault="00F10C57" w:rsidP="00433BDE">
      <w:pPr>
        <w:jc w:val="both"/>
      </w:pPr>
      <w:r w:rsidRPr="002E6552">
        <w:rPr>
          <w:lang w:eastAsia="et-EE"/>
        </w:rPr>
        <w:t xml:space="preserve">Meetme tegevustega panustatakse Euroopa Parlamendi </w:t>
      </w:r>
      <w:r w:rsidR="00B553F0">
        <w:rPr>
          <w:lang w:eastAsia="et-EE"/>
        </w:rPr>
        <w:t>ning Nõukogu määruse (EL) 1301</w:t>
      </w:r>
      <w:r w:rsidRPr="002E6552">
        <w:rPr>
          <w:lang w:eastAsia="et-EE"/>
        </w:rPr>
        <w:t>/2013, mis käsit</w:t>
      </w:r>
      <w:r w:rsidR="00B553F0">
        <w:rPr>
          <w:lang w:eastAsia="et-EE"/>
        </w:rPr>
        <w:t xml:space="preserve">leb </w:t>
      </w:r>
      <w:r w:rsidR="00324C7A">
        <w:rPr>
          <w:lang w:eastAsia="et-EE"/>
        </w:rPr>
        <w:t>teiste seas ka</w:t>
      </w:r>
      <w:r w:rsidR="00B553F0">
        <w:rPr>
          <w:lang w:eastAsia="et-EE"/>
        </w:rPr>
        <w:t>Ühtekuuluvusfondi, artikli 5</w:t>
      </w:r>
      <w:r w:rsidR="004D769E" w:rsidRPr="002E6552">
        <w:rPr>
          <w:lang w:eastAsia="et-EE"/>
        </w:rPr>
        <w:t xml:space="preserve"> </w:t>
      </w:r>
      <w:r w:rsidR="00B553F0">
        <w:rPr>
          <w:lang w:eastAsia="et-EE"/>
        </w:rPr>
        <w:t>punktides</w:t>
      </w:r>
      <w:r w:rsidRPr="002E6552">
        <w:rPr>
          <w:lang w:eastAsia="et-EE"/>
        </w:rPr>
        <w:t xml:space="preserve"> </w:t>
      </w:r>
      <w:r w:rsidR="004D769E" w:rsidRPr="002E6552">
        <w:rPr>
          <w:lang w:eastAsia="et-EE"/>
        </w:rPr>
        <w:t xml:space="preserve">1 </w:t>
      </w:r>
      <w:r w:rsidR="00B553F0">
        <w:rPr>
          <w:lang w:eastAsia="et-EE"/>
        </w:rPr>
        <w:t xml:space="preserve">ja 3 </w:t>
      </w:r>
      <w:r w:rsidRPr="002E6552">
        <w:rPr>
          <w:lang w:eastAsia="et-EE"/>
        </w:rPr>
        <w:t xml:space="preserve">nimetatud </w:t>
      </w:r>
      <w:r w:rsidR="00B553F0">
        <w:rPr>
          <w:lang w:eastAsia="et-EE"/>
        </w:rPr>
        <w:t>valdkondlike eesmärkide</w:t>
      </w:r>
      <w:r w:rsidRPr="002E6552">
        <w:rPr>
          <w:lang w:eastAsia="et-EE"/>
        </w:rPr>
        <w:t xml:space="preserve">, milleks on </w:t>
      </w:r>
      <w:r w:rsidR="00B553F0">
        <w:rPr>
          <w:lang w:eastAsia="et-EE"/>
        </w:rPr>
        <w:t xml:space="preserve">- </w:t>
      </w:r>
      <w:r w:rsidR="004D769E" w:rsidRPr="002E6552">
        <w:rPr>
          <w:lang w:eastAsia="et-EE"/>
        </w:rPr>
        <w:t>teaduse, tehnoloogilise arendustegevuse ja innovatsiooni edendamine</w:t>
      </w:r>
      <w:r w:rsidR="00B553F0">
        <w:rPr>
          <w:lang w:eastAsia="et-EE"/>
        </w:rPr>
        <w:t xml:space="preserve"> ning </w:t>
      </w:r>
      <w:r w:rsidR="00B553F0" w:rsidRPr="00B553F0">
        <w:rPr>
          <w:lang w:eastAsia="et-EE"/>
        </w:rPr>
        <w:t>VKEde konkurentsivõime suurendamine</w:t>
      </w:r>
      <w:r w:rsidR="004D769E" w:rsidRPr="002E6552">
        <w:rPr>
          <w:lang w:eastAsia="et-EE"/>
        </w:rPr>
        <w:t xml:space="preserve">, täitmisesse. </w:t>
      </w:r>
    </w:p>
    <w:p w14:paraId="59D3B52F" w14:textId="77777777" w:rsidR="00F10C57" w:rsidRDefault="00F10C57" w:rsidP="00433BDE">
      <w:pPr>
        <w:jc w:val="both"/>
      </w:pPr>
    </w:p>
    <w:p w14:paraId="29DAAE62" w14:textId="77777777" w:rsidR="00E75E11" w:rsidRDefault="00E75E11" w:rsidP="00433BDE">
      <w:pPr>
        <w:jc w:val="both"/>
      </w:pPr>
      <w:r>
        <w:t>Eelnõu p</w:t>
      </w:r>
      <w:r w:rsidR="00B553F0">
        <w:t>anustab</w:t>
      </w:r>
      <w:r w:rsidR="00010E4E">
        <w:t xml:space="preserve"> </w:t>
      </w:r>
      <w:r>
        <w:t>järgmistesse rakenduskava tulemus- ja väljundnäitajatesse:</w:t>
      </w:r>
    </w:p>
    <w:p w14:paraId="4560A511" w14:textId="77777777" w:rsidR="00E75E11" w:rsidRDefault="00E75E11" w:rsidP="00433BDE">
      <w:pPr>
        <w:jc w:val="both"/>
      </w:pPr>
    </w:p>
    <w:p w14:paraId="27A9513F" w14:textId="77777777" w:rsidR="00E75E11" w:rsidRDefault="00E75E11" w:rsidP="00433BDE">
      <w:pPr>
        <w:jc w:val="both"/>
        <w:rPr>
          <w:lang w:eastAsia="et-EE"/>
        </w:rPr>
      </w:pPr>
      <w:r>
        <w:rPr>
          <w:lang w:eastAsia="et-EE"/>
        </w:rPr>
        <w:t>Tabel 1</w:t>
      </w:r>
      <w:r w:rsidRPr="002E6552">
        <w:rPr>
          <w:lang w:eastAsia="et-EE"/>
        </w:rPr>
        <w:t>. Rakenduskava tulemusnäitajad</w:t>
      </w:r>
      <w:r>
        <w:rPr>
          <w:lang w:eastAsia="et-EE"/>
        </w:rPr>
        <w:t>.</w:t>
      </w:r>
    </w:p>
    <w:p w14:paraId="259EB016" w14:textId="77777777" w:rsidR="00E75E11" w:rsidRPr="002E6552" w:rsidRDefault="00E75E11" w:rsidP="00433BDE">
      <w:pPr>
        <w:jc w:val="both"/>
        <w:rPr>
          <w:lang w:eastAsia="et-EE"/>
        </w:rPr>
      </w:pPr>
      <w:r w:rsidRPr="002E6552">
        <w:rPr>
          <w:lang w:eastAsia="et-EE"/>
        </w:rPr>
        <w:t xml:space="preserve"> </w:t>
      </w:r>
    </w:p>
    <w:tbl>
      <w:tblPr>
        <w:tblStyle w:val="TableGrid"/>
        <w:tblW w:w="0" w:type="auto"/>
        <w:tblLook w:val="04A0" w:firstRow="1" w:lastRow="0" w:firstColumn="1" w:lastColumn="0" w:noHBand="0" w:noVBand="1"/>
      </w:tblPr>
      <w:tblGrid>
        <w:gridCol w:w="2323"/>
        <w:gridCol w:w="2095"/>
        <w:gridCol w:w="2182"/>
        <w:gridCol w:w="2210"/>
      </w:tblGrid>
      <w:tr w:rsidR="00E75E11" w:rsidRPr="002E6552" w14:paraId="01E5FBBF" w14:textId="77777777" w:rsidTr="009C571F">
        <w:tc>
          <w:tcPr>
            <w:tcW w:w="2323" w:type="dxa"/>
          </w:tcPr>
          <w:p w14:paraId="53D5F96F" w14:textId="77777777" w:rsidR="00E75E11" w:rsidRPr="002E6552" w:rsidRDefault="00E75E11" w:rsidP="00433BDE">
            <w:pPr>
              <w:jc w:val="center"/>
              <w:rPr>
                <w:b/>
              </w:rPr>
            </w:pPr>
            <w:r w:rsidRPr="002E6552">
              <w:rPr>
                <w:b/>
              </w:rPr>
              <w:t xml:space="preserve">Indikaator </w:t>
            </w:r>
          </w:p>
        </w:tc>
        <w:tc>
          <w:tcPr>
            <w:tcW w:w="2095" w:type="dxa"/>
          </w:tcPr>
          <w:p w14:paraId="52CEEF10" w14:textId="77777777" w:rsidR="00E75E11" w:rsidRPr="002E6552" w:rsidRDefault="00E75E11" w:rsidP="00433BDE">
            <w:pPr>
              <w:jc w:val="center"/>
              <w:rPr>
                <w:b/>
              </w:rPr>
            </w:pPr>
            <w:r w:rsidRPr="002E6552">
              <w:rPr>
                <w:b/>
              </w:rPr>
              <w:t xml:space="preserve">Ühik </w:t>
            </w:r>
          </w:p>
        </w:tc>
        <w:tc>
          <w:tcPr>
            <w:tcW w:w="2182" w:type="dxa"/>
          </w:tcPr>
          <w:p w14:paraId="67B62D8C" w14:textId="77777777" w:rsidR="00E75E11" w:rsidRPr="002E6552" w:rsidRDefault="00E75E11" w:rsidP="00433BDE">
            <w:pPr>
              <w:jc w:val="center"/>
              <w:rPr>
                <w:b/>
              </w:rPr>
            </w:pPr>
            <w:r w:rsidRPr="002E6552">
              <w:rPr>
                <w:b/>
              </w:rPr>
              <w:t>Andmeallikas</w:t>
            </w:r>
          </w:p>
        </w:tc>
        <w:tc>
          <w:tcPr>
            <w:tcW w:w="2210" w:type="dxa"/>
          </w:tcPr>
          <w:p w14:paraId="52FE53E9" w14:textId="77777777" w:rsidR="00E75E11" w:rsidRPr="002E6552" w:rsidRDefault="00E75E11" w:rsidP="00433BDE">
            <w:pPr>
              <w:jc w:val="center"/>
              <w:rPr>
                <w:b/>
              </w:rPr>
            </w:pPr>
            <w:r w:rsidRPr="002E6552">
              <w:rPr>
                <w:b/>
              </w:rPr>
              <w:t xml:space="preserve">Mõõtmissagedus </w:t>
            </w:r>
          </w:p>
        </w:tc>
      </w:tr>
      <w:tr w:rsidR="00E75E11" w:rsidRPr="002E6552" w14:paraId="0E30F41F" w14:textId="77777777" w:rsidTr="009C571F">
        <w:tc>
          <w:tcPr>
            <w:tcW w:w="2323" w:type="dxa"/>
          </w:tcPr>
          <w:p w14:paraId="6EF789A7" w14:textId="77777777" w:rsidR="00E75E11" w:rsidRDefault="00E75E11" w:rsidP="00433BDE">
            <w:pPr>
              <w:pStyle w:val="ListParagraph"/>
              <w:numPr>
                <w:ilvl w:val="0"/>
                <w:numId w:val="9"/>
              </w:numPr>
              <w:spacing w:line="240" w:lineRule="auto"/>
              <w:jc w:val="both"/>
              <w:rPr>
                <w:rFonts w:ascii="Times New Roman" w:hAnsi="Times New Roman"/>
                <w:sz w:val="24"/>
                <w:szCs w:val="24"/>
              </w:rPr>
            </w:pPr>
            <w:r w:rsidRPr="002E6552">
              <w:rPr>
                <w:rFonts w:ascii="Times New Roman" w:hAnsi="Times New Roman"/>
                <w:sz w:val="24"/>
                <w:szCs w:val="24"/>
              </w:rPr>
              <w:t>Erasektori teadus- ja arendustegevuse kulutuste osakaal (%</w:t>
            </w:r>
            <w:r w:rsidR="0036195A">
              <w:rPr>
                <w:rFonts w:ascii="Times New Roman" w:hAnsi="Times New Roman"/>
                <w:sz w:val="24"/>
                <w:szCs w:val="24"/>
              </w:rPr>
              <w:t xml:space="preserve"> </w:t>
            </w:r>
            <w:r w:rsidRPr="002E6552">
              <w:rPr>
                <w:rFonts w:ascii="Times New Roman" w:hAnsi="Times New Roman"/>
                <w:sz w:val="24"/>
                <w:szCs w:val="24"/>
              </w:rPr>
              <w:t>SKP-st)</w:t>
            </w:r>
            <w:r w:rsidR="00B9598D">
              <w:rPr>
                <w:rFonts w:ascii="Times New Roman" w:hAnsi="Times New Roman"/>
                <w:sz w:val="24"/>
                <w:szCs w:val="24"/>
              </w:rPr>
              <w:t>.</w:t>
            </w:r>
          </w:p>
          <w:p w14:paraId="2968BF83" w14:textId="77777777" w:rsidR="009C571F" w:rsidRPr="002E6552" w:rsidRDefault="009C571F" w:rsidP="00433BDE">
            <w:pPr>
              <w:pStyle w:val="ListParagraph"/>
              <w:spacing w:line="240" w:lineRule="auto"/>
              <w:ind w:left="360"/>
              <w:jc w:val="both"/>
              <w:rPr>
                <w:rFonts w:ascii="Times New Roman" w:hAnsi="Times New Roman"/>
                <w:sz w:val="24"/>
                <w:szCs w:val="24"/>
              </w:rPr>
            </w:pPr>
          </w:p>
        </w:tc>
        <w:tc>
          <w:tcPr>
            <w:tcW w:w="2095" w:type="dxa"/>
          </w:tcPr>
          <w:p w14:paraId="3287C81A" w14:textId="77777777" w:rsidR="00E75E11" w:rsidRPr="002E6552" w:rsidRDefault="00E75E11" w:rsidP="00433BDE">
            <w:pPr>
              <w:jc w:val="center"/>
            </w:pPr>
          </w:p>
          <w:p w14:paraId="1E145A2D" w14:textId="77777777" w:rsidR="00E75E11" w:rsidRPr="002E6552" w:rsidRDefault="00E75E11" w:rsidP="00433BDE">
            <w:pPr>
              <w:jc w:val="center"/>
            </w:pPr>
          </w:p>
          <w:p w14:paraId="0DD423D4" w14:textId="77777777" w:rsidR="00E75E11" w:rsidRPr="002E6552" w:rsidRDefault="00E75E11" w:rsidP="00433BDE">
            <w:pPr>
              <w:jc w:val="center"/>
            </w:pPr>
          </w:p>
          <w:p w14:paraId="1E6F2754" w14:textId="77777777" w:rsidR="00E75E11" w:rsidRPr="002E6552" w:rsidRDefault="00E75E11" w:rsidP="00433BDE">
            <w:pPr>
              <w:jc w:val="center"/>
              <w:rPr>
                <w:b/>
              </w:rPr>
            </w:pPr>
            <w:r w:rsidRPr="002E6552">
              <w:rPr>
                <w:b/>
              </w:rPr>
              <w:t>%</w:t>
            </w:r>
          </w:p>
        </w:tc>
        <w:tc>
          <w:tcPr>
            <w:tcW w:w="2182" w:type="dxa"/>
          </w:tcPr>
          <w:p w14:paraId="2944748B" w14:textId="77777777" w:rsidR="00E75E11" w:rsidRPr="002E6552" w:rsidRDefault="00E75E11" w:rsidP="00433BDE">
            <w:pPr>
              <w:jc w:val="center"/>
            </w:pPr>
          </w:p>
          <w:p w14:paraId="4237C6B9" w14:textId="77777777" w:rsidR="00E75E11" w:rsidRPr="002E6552" w:rsidRDefault="00E75E11" w:rsidP="00433BDE">
            <w:pPr>
              <w:jc w:val="center"/>
            </w:pPr>
          </w:p>
          <w:p w14:paraId="70CF72F5" w14:textId="77777777" w:rsidR="00E75E11" w:rsidRPr="002E6552" w:rsidRDefault="00E75E11" w:rsidP="00433BDE">
            <w:pPr>
              <w:jc w:val="center"/>
            </w:pPr>
          </w:p>
          <w:p w14:paraId="617A1358" w14:textId="77777777" w:rsidR="00E75E11" w:rsidRPr="002E6552" w:rsidRDefault="00E75E11" w:rsidP="00433BDE">
            <w:pPr>
              <w:jc w:val="center"/>
            </w:pPr>
            <w:r w:rsidRPr="002E6552">
              <w:t>Eurostat</w:t>
            </w:r>
          </w:p>
        </w:tc>
        <w:tc>
          <w:tcPr>
            <w:tcW w:w="2210" w:type="dxa"/>
          </w:tcPr>
          <w:p w14:paraId="2344F801" w14:textId="77777777" w:rsidR="00E75E11" w:rsidRPr="002E6552" w:rsidRDefault="00E75E11" w:rsidP="00433BDE">
            <w:pPr>
              <w:jc w:val="center"/>
            </w:pPr>
          </w:p>
          <w:p w14:paraId="27EAFA75" w14:textId="77777777" w:rsidR="00E75E11" w:rsidRPr="002E6552" w:rsidRDefault="00E75E11" w:rsidP="00433BDE">
            <w:pPr>
              <w:jc w:val="center"/>
            </w:pPr>
          </w:p>
          <w:p w14:paraId="7C9727E7" w14:textId="77777777" w:rsidR="00E75E11" w:rsidRPr="002E6552" w:rsidRDefault="00E75E11" w:rsidP="00433BDE">
            <w:pPr>
              <w:jc w:val="center"/>
            </w:pPr>
          </w:p>
          <w:p w14:paraId="4DE2BB1C" w14:textId="77777777" w:rsidR="00E75E11" w:rsidRPr="002E6552" w:rsidRDefault="00E75E11" w:rsidP="00433BDE">
            <w:pPr>
              <w:jc w:val="center"/>
            </w:pPr>
            <w:r w:rsidRPr="002E6552">
              <w:t>Iga kahe aasta tagant</w:t>
            </w:r>
          </w:p>
        </w:tc>
      </w:tr>
      <w:tr w:rsidR="00E75E11" w:rsidRPr="002E6552" w14:paraId="79F5EA98" w14:textId="77777777" w:rsidTr="009C571F">
        <w:tc>
          <w:tcPr>
            <w:tcW w:w="2323" w:type="dxa"/>
          </w:tcPr>
          <w:p w14:paraId="0711FFAA" w14:textId="77777777" w:rsidR="00E75E11" w:rsidRPr="002E6552" w:rsidRDefault="00E75E11" w:rsidP="00433BDE">
            <w:pPr>
              <w:pStyle w:val="ListParagraph"/>
              <w:numPr>
                <w:ilvl w:val="0"/>
                <w:numId w:val="9"/>
              </w:numPr>
              <w:spacing w:line="240" w:lineRule="auto"/>
              <w:jc w:val="both"/>
              <w:rPr>
                <w:rFonts w:ascii="Times New Roman" w:hAnsi="Times New Roman"/>
                <w:sz w:val="24"/>
                <w:szCs w:val="24"/>
              </w:rPr>
            </w:pPr>
            <w:r w:rsidRPr="002E6552">
              <w:rPr>
                <w:rFonts w:ascii="Times New Roman" w:hAnsi="Times New Roman"/>
                <w:sz w:val="24"/>
                <w:szCs w:val="24"/>
              </w:rPr>
              <w:t>Müügitulu uutest või oluliselt muudetud toodetest või teenustest.</w:t>
            </w:r>
          </w:p>
        </w:tc>
        <w:tc>
          <w:tcPr>
            <w:tcW w:w="2095" w:type="dxa"/>
          </w:tcPr>
          <w:p w14:paraId="5889CB4A" w14:textId="77777777" w:rsidR="00E75E11" w:rsidRPr="002E6552" w:rsidRDefault="00E75E11" w:rsidP="00433BDE">
            <w:pPr>
              <w:jc w:val="center"/>
            </w:pPr>
          </w:p>
          <w:p w14:paraId="3948A801" w14:textId="77777777" w:rsidR="00E75E11" w:rsidRPr="002E6552" w:rsidRDefault="00E75E11" w:rsidP="00433BDE">
            <w:pPr>
              <w:jc w:val="center"/>
            </w:pPr>
          </w:p>
          <w:p w14:paraId="33620B33" w14:textId="77777777" w:rsidR="00E75E11" w:rsidRPr="002E6552" w:rsidRDefault="00E75E11" w:rsidP="00433BDE">
            <w:pPr>
              <w:jc w:val="center"/>
              <w:rPr>
                <w:b/>
              </w:rPr>
            </w:pPr>
            <w:r w:rsidRPr="002E6552">
              <w:rPr>
                <w:b/>
              </w:rPr>
              <w:t>%</w:t>
            </w:r>
          </w:p>
        </w:tc>
        <w:tc>
          <w:tcPr>
            <w:tcW w:w="2182" w:type="dxa"/>
          </w:tcPr>
          <w:p w14:paraId="53547F63" w14:textId="77777777" w:rsidR="00E75E11" w:rsidRPr="002E6552" w:rsidRDefault="00E75E11" w:rsidP="00433BDE">
            <w:pPr>
              <w:jc w:val="center"/>
            </w:pPr>
          </w:p>
          <w:p w14:paraId="6BA7ED53" w14:textId="77777777" w:rsidR="00E75E11" w:rsidRPr="002E6552" w:rsidRDefault="00E75E11" w:rsidP="00433BDE">
            <w:pPr>
              <w:jc w:val="center"/>
            </w:pPr>
          </w:p>
          <w:p w14:paraId="24488CBA" w14:textId="77777777" w:rsidR="00E75E11" w:rsidRPr="002E6552" w:rsidRDefault="00E75E11" w:rsidP="00433BDE">
            <w:pPr>
              <w:jc w:val="center"/>
            </w:pPr>
            <w:r w:rsidRPr="002E6552">
              <w:t>Eesti Statistikaamet</w:t>
            </w:r>
          </w:p>
        </w:tc>
        <w:tc>
          <w:tcPr>
            <w:tcW w:w="2210" w:type="dxa"/>
          </w:tcPr>
          <w:p w14:paraId="0E4B93EA" w14:textId="77777777" w:rsidR="00E75E11" w:rsidRPr="002E6552" w:rsidRDefault="00E75E11" w:rsidP="00433BDE">
            <w:pPr>
              <w:jc w:val="center"/>
            </w:pPr>
          </w:p>
          <w:p w14:paraId="04763168" w14:textId="77777777" w:rsidR="00E75E11" w:rsidRPr="002E6552" w:rsidRDefault="00E75E11" w:rsidP="00433BDE">
            <w:pPr>
              <w:jc w:val="center"/>
            </w:pPr>
          </w:p>
          <w:p w14:paraId="45521B81" w14:textId="77777777" w:rsidR="00E75E11" w:rsidRPr="002E6552" w:rsidRDefault="00E75E11" w:rsidP="00433BDE">
            <w:pPr>
              <w:jc w:val="center"/>
            </w:pPr>
            <w:r w:rsidRPr="002E6552">
              <w:t>Kord kahe aasta jooksul</w:t>
            </w:r>
          </w:p>
        </w:tc>
      </w:tr>
    </w:tbl>
    <w:p w14:paraId="6A35B50A" w14:textId="77777777" w:rsidR="00E75E11" w:rsidRPr="002E6552" w:rsidRDefault="00E75E11" w:rsidP="00433BDE">
      <w:pPr>
        <w:jc w:val="both"/>
        <w:rPr>
          <w:lang w:eastAsia="et-EE"/>
        </w:rPr>
      </w:pPr>
    </w:p>
    <w:p w14:paraId="296F2929" w14:textId="77777777" w:rsidR="00162665" w:rsidRDefault="00162665" w:rsidP="00433BDE">
      <w:pPr>
        <w:jc w:val="both"/>
        <w:rPr>
          <w:lang w:eastAsia="et-EE"/>
        </w:rPr>
      </w:pPr>
    </w:p>
    <w:p w14:paraId="288ACC48" w14:textId="77777777" w:rsidR="00162665" w:rsidRDefault="00162665" w:rsidP="00433BDE">
      <w:pPr>
        <w:jc w:val="both"/>
        <w:rPr>
          <w:lang w:eastAsia="et-EE"/>
        </w:rPr>
      </w:pPr>
    </w:p>
    <w:p w14:paraId="6FCBBD72" w14:textId="77777777" w:rsidR="00162665" w:rsidRDefault="00162665" w:rsidP="00433BDE">
      <w:pPr>
        <w:jc w:val="both"/>
        <w:rPr>
          <w:lang w:eastAsia="et-EE"/>
        </w:rPr>
      </w:pPr>
    </w:p>
    <w:p w14:paraId="762FAFB4" w14:textId="77777777" w:rsidR="00162665" w:rsidRDefault="00162665" w:rsidP="00433BDE">
      <w:pPr>
        <w:jc w:val="both"/>
        <w:rPr>
          <w:lang w:eastAsia="et-EE"/>
        </w:rPr>
      </w:pPr>
    </w:p>
    <w:p w14:paraId="1E747ECF" w14:textId="77777777" w:rsidR="00162665" w:rsidRDefault="00162665" w:rsidP="00433BDE">
      <w:pPr>
        <w:jc w:val="both"/>
        <w:rPr>
          <w:lang w:eastAsia="et-EE"/>
        </w:rPr>
      </w:pPr>
    </w:p>
    <w:p w14:paraId="76318CC2" w14:textId="77777777" w:rsidR="00E75E11" w:rsidRPr="002E6552" w:rsidRDefault="00860A19" w:rsidP="00433BDE">
      <w:pPr>
        <w:jc w:val="both"/>
        <w:rPr>
          <w:lang w:eastAsia="et-EE"/>
        </w:rPr>
      </w:pPr>
      <w:r>
        <w:rPr>
          <w:lang w:eastAsia="et-EE"/>
        </w:rPr>
        <w:t>Tabel 2</w:t>
      </w:r>
      <w:r w:rsidR="00E75E11" w:rsidRPr="002E6552">
        <w:rPr>
          <w:lang w:eastAsia="et-EE"/>
        </w:rPr>
        <w:t>. Rakenduskava väljundnäitajad.</w:t>
      </w:r>
    </w:p>
    <w:p w14:paraId="65F1EC34" w14:textId="77777777" w:rsidR="00E75E11" w:rsidRPr="002E6552" w:rsidRDefault="00E75E11" w:rsidP="00433BDE">
      <w:pPr>
        <w:jc w:val="both"/>
        <w:rPr>
          <w:lang w:eastAsia="et-EE"/>
        </w:rPr>
      </w:pPr>
    </w:p>
    <w:tbl>
      <w:tblPr>
        <w:tblStyle w:val="TableGrid"/>
        <w:tblW w:w="0" w:type="auto"/>
        <w:tblLook w:val="04A0" w:firstRow="1" w:lastRow="0" w:firstColumn="1" w:lastColumn="0" w:noHBand="0" w:noVBand="1"/>
      </w:tblPr>
      <w:tblGrid>
        <w:gridCol w:w="2322"/>
        <w:gridCol w:w="2119"/>
        <w:gridCol w:w="2167"/>
        <w:gridCol w:w="2202"/>
      </w:tblGrid>
      <w:tr w:rsidR="00DA1FD9" w:rsidRPr="002E6552" w14:paraId="09F4C2EB" w14:textId="77777777" w:rsidTr="00E75E11">
        <w:tc>
          <w:tcPr>
            <w:tcW w:w="2240" w:type="dxa"/>
          </w:tcPr>
          <w:p w14:paraId="0CFF7F4E" w14:textId="77777777" w:rsidR="00E75E11" w:rsidRPr="002E6552" w:rsidRDefault="00E75E11" w:rsidP="00433BDE">
            <w:pPr>
              <w:jc w:val="center"/>
              <w:rPr>
                <w:b/>
              </w:rPr>
            </w:pPr>
            <w:r w:rsidRPr="002E6552">
              <w:rPr>
                <w:b/>
              </w:rPr>
              <w:t>Indikaator</w:t>
            </w:r>
          </w:p>
        </w:tc>
        <w:tc>
          <w:tcPr>
            <w:tcW w:w="2240" w:type="dxa"/>
          </w:tcPr>
          <w:p w14:paraId="40C382D7" w14:textId="77777777" w:rsidR="00E75E11" w:rsidRPr="002E6552" w:rsidRDefault="00E75E11" w:rsidP="00433BDE">
            <w:pPr>
              <w:jc w:val="center"/>
              <w:rPr>
                <w:b/>
              </w:rPr>
            </w:pPr>
            <w:r w:rsidRPr="002E6552">
              <w:rPr>
                <w:b/>
              </w:rPr>
              <w:t>Mõõtühik</w:t>
            </w:r>
          </w:p>
        </w:tc>
        <w:tc>
          <w:tcPr>
            <w:tcW w:w="2240" w:type="dxa"/>
          </w:tcPr>
          <w:p w14:paraId="277F5217" w14:textId="77777777" w:rsidR="00E75E11" w:rsidRPr="002E6552" w:rsidRDefault="00E75E11" w:rsidP="00433BDE">
            <w:pPr>
              <w:jc w:val="center"/>
              <w:rPr>
                <w:b/>
              </w:rPr>
            </w:pPr>
            <w:r w:rsidRPr="002E6552">
              <w:rPr>
                <w:b/>
              </w:rPr>
              <w:t>Andmeallikas</w:t>
            </w:r>
          </w:p>
        </w:tc>
        <w:tc>
          <w:tcPr>
            <w:tcW w:w="2240" w:type="dxa"/>
          </w:tcPr>
          <w:p w14:paraId="5A7D09FB" w14:textId="77777777" w:rsidR="00E75E11" w:rsidRPr="002E6552" w:rsidRDefault="00E75E11" w:rsidP="00433BDE">
            <w:pPr>
              <w:jc w:val="center"/>
              <w:rPr>
                <w:b/>
              </w:rPr>
            </w:pPr>
            <w:r w:rsidRPr="002E6552">
              <w:rPr>
                <w:b/>
              </w:rPr>
              <w:t>Mõõtmissagedus</w:t>
            </w:r>
          </w:p>
        </w:tc>
      </w:tr>
      <w:tr w:rsidR="00DA1FD9" w:rsidRPr="002E6552" w14:paraId="4DDA4B68" w14:textId="77777777" w:rsidTr="00E75E11">
        <w:tc>
          <w:tcPr>
            <w:tcW w:w="2240" w:type="dxa"/>
          </w:tcPr>
          <w:p w14:paraId="0DE677F5" w14:textId="77777777" w:rsidR="00E75E11" w:rsidRPr="002E6552" w:rsidRDefault="009C571F" w:rsidP="00433BDE">
            <w:pPr>
              <w:pStyle w:val="ListParagraph"/>
              <w:numPr>
                <w:ilvl w:val="0"/>
                <w:numId w:val="9"/>
              </w:numPr>
              <w:spacing w:line="240" w:lineRule="auto"/>
              <w:jc w:val="both"/>
              <w:rPr>
                <w:rFonts w:ascii="Times New Roman" w:hAnsi="Times New Roman"/>
                <w:sz w:val="24"/>
                <w:szCs w:val="24"/>
              </w:rPr>
            </w:pPr>
            <w:r w:rsidRPr="009C571F">
              <w:rPr>
                <w:rFonts w:ascii="Times New Roman" w:hAnsi="Times New Roman"/>
                <w:sz w:val="24"/>
                <w:szCs w:val="24"/>
              </w:rPr>
              <w:lastRenderedPageBreak/>
              <w:t>Abi saavate ettevõtete arv</w:t>
            </w:r>
            <w:r w:rsidR="006C5C89">
              <w:rPr>
                <w:rFonts w:ascii="Times New Roman" w:hAnsi="Times New Roman"/>
                <w:sz w:val="24"/>
                <w:szCs w:val="24"/>
              </w:rPr>
              <w:t xml:space="preserve"> (kokku).</w:t>
            </w:r>
          </w:p>
        </w:tc>
        <w:tc>
          <w:tcPr>
            <w:tcW w:w="2240" w:type="dxa"/>
          </w:tcPr>
          <w:p w14:paraId="5D94A986" w14:textId="77777777" w:rsidR="00E75E11" w:rsidRPr="002E6552" w:rsidRDefault="00E75E11" w:rsidP="00433BDE">
            <w:pPr>
              <w:jc w:val="center"/>
            </w:pPr>
          </w:p>
          <w:p w14:paraId="2B386A60" w14:textId="77777777" w:rsidR="00E75E11" w:rsidRPr="002E6552" w:rsidRDefault="00E75E11" w:rsidP="00433BDE">
            <w:pPr>
              <w:jc w:val="center"/>
            </w:pPr>
          </w:p>
          <w:p w14:paraId="2E559F8C" w14:textId="77777777" w:rsidR="00E75E11" w:rsidRPr="002E6552" w:rsidRDefault="00E75E11" w:rsidP="00433BDE">
            <w:pPr>
              <w:jc w:val="center"/>
            </w:pPr>
            <w:r w:rsidRPr="002E6552">
              <w:t>ettevõte</w:t>
            </w:r>
          </w:p>
        </w:tc>
        <w:tc>
          <w:tcPr>
            <w:tcW w:w="2240" w:type="dxa"/>
          </w:tcPr>
          <w:p w14:paraId="25D679F4" w14:textId="77777777" w:rsidR="00E75E11" w:rsidRPr="002E6552" w:rsidRDefault="00E75E11" w:rsidP="00433BDE">
            <w:pPr>
              <w:jc w:val="center"/>
            </w:pPr>
          </w:p>
          <w:p w14:paraId="3011530B" w14:textId="77777777" w:rsidR="00E75E11" w:rsidRPr="002E6552" w:rsidRDefault="00E75E11" w:rsidP="00433BDE">
            <w:pPr>
              <w:jc w:val="center"/>
            </w:pPr>
          </w:p>
          <w:p w14:paraId="23AB98D3" w14:textId="77777777" w:rsidR="00E75E11" w:rsidRPr="002E6552" w:rsidRDefault="00E75E11" w:rsidP="00433BDE">
            <w:pPr>
              <w:jc w:val="center"/>
            </w:pPr>
            <w:r w:rsidRPr="002E6552">
              <w:t>rakendusüksus</w:t>
            </w:r>
          </w:p>
        </w:tc>
        <w:tc>
          <w:tcPr>
            <w:tcW w:w="2240" w:type="dxa"/>
          </w:tcPr>
          <w:p w14:paraId="0912A99A" w14:textId="77777777" w:rsidR="00E75E11" w:rsidRPr="002E6552" w:rsidRDefault="00E75E11" w:rsidP="00433BDE">
            <w:pPr>
              <w:jc w:val="center"/>
            </w:pPr>
          </w:p>
          <w:p w14:paraId="2C012F58" w14:textId="77777777" w:rsidR="00E75E11" w:rsidRPr="002E6552" w:rsidRDefault="00E75E11" w:rsidP="00433BDE">
            <w:pPr>
              <w:jc w:val="center"/>
            </w:pPr>
          </w:p>
          <w:p w14:paraId="448217DD" w14:textId="77777777" w:rsidR="00E75E11" w:rsidRPr="002E6552" w:rsidRDefault="006275E7" w:rsidP="00433BDE">
            <w:pPr>
              <w:jc w:val="center"/>
            </w:pPr>
            <w:r>
              <w:t>ü</w:t>
            </w:r>
            <w:r w:rsidR="00E75E11" w:rsidRPr="002E6552">
              <w:t>ks kord aastas</w:t>
            </w:r>
          </w:p>
        </w:tc>
      </w:tr>
      <w:tr w:rsidR="00DA1FD9" w:rsidRPr="002E6552" w14:paraId="492C6C38" w14:textId="77777777" w:rsidTr="00E75E11">
        <w:tc>
          <w:tcPr>
            <w:tcW w:w="2240" w:type="dxa"/>
          </w:tcPr>
          <w:p w14:paraId="4A8BB19E" w14:textId="77777777" w:rsidR="00E75E11" w:rsidRPr="002E6552" w:rsidRDefault="006C5C89" w:rsidP="00433BDE">
            <w:pPr>
              <w:pStyle w:val="ListParagraph"/>
              <w:numPr>
                <w:ilvl w:val="0"/>
                <w:numId w:val="9"/>
              </w:numPr>
              <w:spacing w:line="240" w:lineRule="auto"/>
              <w:jc w:val="both"/>
              <w:rPr>
                <w:rFonts w:ascii="Times New Roman" w:hAnsi="Times New Roman"/>
                <w:sz w:val="24"/>
                <w:szCs w:val="24"/>
              </w:rPr>
            </w:pPr>
            <w:r w:rsidRPr="006C5C89">
              <w:rPr>
                <w:rFonts w:ascii="Times New Roman" w:hAnsi="Times New Roman"/>
                <w:sz w:val="24"/>
                <w:szCs w:val="24"/>
              </w:rPr>
              <w:t>Toetatud ettevõtted, kes on tutvustanud turu jaoks uut toodet või teenust</w:t>
            </w:r>
            <w:r>
              <w:rPr>
                <w:rFonts w:ascii="Times New Roman" w:hAnsi="Times New Roman"/>
                <w:sz w:val="24"/>
                <w:szCs w:val="24"/>
              </w:rPr>
              <w:t>.</w:t>
            </w:r>
          </w:p>
        </w:tc>
        <w:tc>
          <w:tcPr>
            <w:tcW w:w="2240" w:type="dxa"/>
          </w:tcPr>
          <w:p w14:paraId="6C29D642" w14:textId="77777777" w:rsidR="00E75E11" w:rsidRPr="002E6552" w:rsidRDefault="00E75E11" w:rsidP="00433BDE">
            <w:pPr>
              <w:jc w:val="center"/>
            </w:pPr>
          </w:p>
          <w:p w14:paraId="1C0D9658" w14:textId="77777777" w:rsidR="00E75E11" w:rsidRPr="002E6552" w:rsidRDefault="00E75E11" w:rsidP="00433BDE">
            <w:pPr>
              <w:jc w:val="center"/>
            </w:pPr>
          </w:p>
          <w:p w14:paraId="504D64E4" w14:textId="77777777" w:rsidR="00E75E11" w:rsidRPr="002E6552" w:rsidRDefault="00E75E11" w:rsidP="00433BDE">
            <w:pPr>
              <w:jc w:val="center"/>
            </w:pPr>
            <w:r w:rsidRPr="002E6552">
              <w:t>ettevõte</w:t>
            </w:r>
          </w:p>
        </w:tc>
        <w:tc>
          <w:tcPr>
            <w:tcW w:w="2240" w:type="dxa"/>
          </w:tcPr>
          <w:p w14:paraId="44245E23" w14:textId="77777777" w:rsidR="00E75E11" w:rsidRPr="002E6552" w:rsidRDefault="00E75E11" w:rsidP="00433BDE">
            <w:pPr>
              <w:jc w:val="center"/>
            </w:pPr>
          </w:p>
          <w:p w14:paraId="423C405A" w14:textId="77777777" w:rsidR="00E75E11" w:rsidRPr="002E6552" w:rsidRDefault="00E75E11" w:rsidP="00433BDE">
            <w:pPr>
              <w:jc w:val="center"/>
            </w:pPr>
          </w:p>
          <w:p w14:paraId="1C7D9C28" w14:textId="77777777" w:rsidR="00E75E11" w:rsidRPr="002E6552" w:rsidRDefault="00E75E11" w:rsidP="00433BDE">
            <w:pPr>
              <w:jc w:val="center"/>
            </w:pPr>
            <w:r w:rsidRPr="002E6552">
              <w:t>rakendusüksus</w:t>
            </w:r>
          </w:p>
        </w:tc>
        <w:tc>
          <w:tcPr>
            <w:tcW w:w="2240" w:type="dxa"/>
          </w:tcPr>
          <w:p w14:paraId="19DC6DBF" w14:textId="77777777" w:rsidR="00E75E11" w:rsidRPr="002E6552" w:rsidRDefault="00E75E11" w:rsidP="00433BDE">
            <w:pPr>
              <w:jc w:val="both"/>
            </w:pPr>
          </w:p>
          <w:p w14:paraId="386AE93E" w14:textId="77777777" w:rsidR="00E75E11" w:rsidRPr="002E6552" w:rsidRDefault="00E75E11" w:rsidP="00433BDE">
            <w:pPr>
              <w:jc w:val="both"/>
            </w:pPr>
          </w:p>
          <w:p w14:paraId="7882B37B" w14:textId="77777777" w:rsidR="00E75E11" w:rsidRPr="002E6552" w:rsidRDefault="006275E7" w:rsidP="00433BDE">
            <w:pPr>
              <w:jc w:val="center"/>
            </w:pPr>
            <w:r>
              <w:t>ü</w:t>
            </w:r>
            <w:r w:rsidR="00E75E11" w:rsidRPr="002E6552">
              <w:t>ks kord aastas</w:t>
            </w:r>
          </w:p>
        </w:tc>
      </w:tr>
      <w:tr w:rsidR="006C5C89" w:rsidRPr="002E6552" w14:paraId="150DA7DB" w14:textId="77777777" w:rsidTr="00E75E11">
        <w:tc>
          <w:tcPr>
            <w:tcW w:w="2240" w:type="dxa"/>
          </w:tcPr>
          <w:p w14:paraId="484087F8" w14:textId="77777777" w:rsidR="006C5C89" w:rsidRPr="006C5C89" w:rsidRDefault="006C5C89" w:rsidP="00433BDE">
            <w:pPr>
              <w:pStyle w:val="ListParagraph"/>
              <w:numPr>
                <w:ilvl w:val="0"/>
                <w:numId w:val="9"/>
              </w:numPr>
              <w:spacing w:line="240" w:lineRule="auto"/>
              <w:jc w:val="both"/>
              <w:rPr>
                <w:rFonts w:ascii="Times New Roman" w:hAnsi="Times New Roman"/>
                <w:sz w:val="24"/>
                <w:szCs w:val="24"/>
              </w:rPr>
            </w:pPr>
            <w:r w:rsidRPr="006C5C89">
              <w:rPr>
                <w:rFonts w:ascii="Times New Roman" w:hAnsi="Times New Roman"/>
                <w:sz w:val="24"/>
                <w:szCs w:val="24"/>
              </w:rPr>
              <w:t>Toetatud ettevõtted, kes on tutvustanud ettevõtte jaoks uut toodet või teenust</w:t>
            </w:r>
            <w:r>
              <w:rPr>
                <w:rFonts w:ascii="Times New Roman" w:hAnsi="Times New Roman"/>
                <w:sz w:val="24"/>
                <w:szCs w:val="24"/>
              </w:rPr>
              <w:t>.</w:t>
            </w:r>
          </w:p>
        </w:tc>
        <w:tc>
          <w:tcPr>
            <w:tcW w:w="2240" w:type="dxa"/>
          </w:tcPr>
          <w:p w14:paraId="6EAD16F3" w14:textId="77777777" w:rsidR="006C5C89" w:rsidRDefault="006C5C89" w:rsidP="00433BDE">
            <w:pPr>
              <w:jc w:val="center"/>
            </w:pPr>
          </w:p>
          <w:p w14:paraId="01564AAA" w14:textId="77777777" w:rsidR="006C5C89" w:rsidRDefault="006C5C89" w:rsidP="00433BDE">
            <w:pPr>
              <w:jc w:val="center"/>
            </w:pPr>
          </w:p>
          <w:p w14:paraId="667AFBE6" w14:textId="77777777" w:rsidR="006C5C89" w:rsidRPr="002E6552" w:rsidRDefault="006C5C89" w:rsidP="00433BDE">
            <w:pPr>
              <w:jc w:val="center"/>
            </w:pPr>
            <w:r>
              <w:t>ettevõte</w:t>
            </w:r>
          </w:p>
        </w:tc>
        <w:tc>
          <w:tcPr>
            <w:tcW w:w="2240" w:type="dxa"/>
          </w:tcPr>
          <w:p w14:paraId="171EA3D7" w14:textId="77777777" w:rsidR="006C5C89" w:rsidRDefault="006C5C89" w:rsidP="00433BDE">
            <w:pPr>
              <w:jc w:val="center"/>
            </w:pPr>
          </w:p>
          <w:p w14:paraId="0D8022A9" w14:textId="77777777" w:rsidR="006C5C89" w:rsidRDefault="006C5C89" w:rsidP="00433BDE">
            <w:pPr>
              <w:jc w:val="center"/>
            </w:pPr>
          </w:p>
          <w:p w14:paraId="07BE5FAD" w14:textId="77777777" w:rsidR="006C5C89" w:rsidRPr="002E6552" w:rsidRDefault="006C5C89" w:rsidP="00433BDE">
            <w:pPr>
              <w:jc w:val="center"/>
            </w:pPr>
            <w:r>
              <w:t>rakendusüksus</w:t>
            </w:r>
          </w:p>
        </w:tc>
        <w:tc>
          <w:tcPr>
            <w:tcW w:w="2240" w:type="dxa"/>
          </w:tcPr>
          <w:p w14:paraId="2D691EC1" w14:textId="77777777" w:rsidR="006C5C89" w:rsidRDefault="006C5C89" w:rsidP="00433BDE">
            <w:pPr>
              <w:jc w:val="center"/>
            </w:pPr>
          </w:p>
          <w:p w14:paraId="34CDA0B7" w14:textId="77777777" w:rsidR="006C5C89" w:rsidRDefault="006C5C89" w:rsidP="00433BDE">
            <w:pPr>
              <w:jc w:val="center"/>
            </w:pPr>
          </w:p>
          <w:p w14:paraId="4F9B54B6" w14:textId="77777777" w:rsidR="006C5C89" w:rsidRPr="002E6552" w:rsidRDefault="006275E7" w:rsidP="00433BDE">
            <w:pPr>
              <w:jc w:val="center"/>
            </w:pPr>
            <w:r>
              <w:t>ü</w:t>
            </w:r>
            <w:r w:rsidR="006C5C89">
              <w:t>ks kord aastas</w:t>
            </w:r>
          </w:p>
        </w:tc>
      </w:tr>
      <w:tr w:rsidR="006C5C89" w:rsidRPr="002E6552" w14:paraId="678F6085" w14:textId="77777777" w:rsidTr="00E75E11">
        <w:tc>
          <w:tcPr>
            <w:tcW w:w="2240" w:type="dxa"/>
          </w:tcPr>
          <w:p w14:paraId="47ED38F3" w14:textId="77777777" w:rsidR="006C5C89" w:rsidRPr="006C5C89" w:rsidRDefault="006C5C89" w:rsidP="00433BDE">
            <w:pPr>
              <w:pStyle w:val="ListParagraph"/>
              <w:numPr>
                <w:ilvl w:val="0"/>
                <w:numId w:val="9"/>
              </w:numPr>
              <w:spacing w:line="240" w:lineRule="auto"/>
              <w:jc w:val="both"/>
              <w:rPr>
                <w:rFonts w:ascii="Times New Roman" w:hAnsi="Times New Roman"/>
                <w:sz w:val="24"/>
                <w:szCs w:val="24"/>
              </w:rPr>
            </w:pPr>
            <w:r w:rsidRPr="006C5C89">
              <w:rPr>
                <w:rFonts w:ascii="Times New Roman" w:hAnsi="Times New Roman"/>
                <w:sz w:val="24"/>
                <w:szCs w:val="24"/>
              </w:rPr>
              <w:t>Erainvesteeringud kooskõlas riigi toetustega innovatsiooni või teadus- ja arendustegevuse alastele projektidele (mln €)</w:t>
            </w:r>
          </w:p>
        </w:tc>
        <w:tc>
          <w:tcPr>
            <w:tcW w:w="2240" w:type="dxa"/>
          </w:tcPr>
          <w:p w14:paraId="72AEAB8C" w14:textId="77777777" w:rsidR="006C5C89" w:rsidRDefault="006C5C89" w:rsidP="00433BDE">
            <w:pPr>
              <w:jc w:val="center"/>
            </w:pPr>
          </w:p>
          <w:p w14:paraId="31F821EE" w14:textId="77777777" w:rsidR="006C5C89" w:rsidRDefault="006C5C89" w:rsidP="00433BDE">
            <w:pPr>
              <w:jc w:val="center"/>
            </w:pPr>
          </w:p>
          <w:p w14:paraId="173A7BE8" w14:textId="77777777" w:rsidR="006C5C89" w:rsidRDefault="006C5C89" w:rsidP="00433BDE">
            <w:pPr>
              <w:jc w:val="center"/>
            </w:pPr>
          </w:p>
          <w:p w14:paraId="39B041F5" w14:textId="77777777" w:rsidR="006C5C89" w:rsidRDefault="006C5C89" w:rsidP="00433BDE">
            <w:pPr>
              <w:jc w:val="center"/>
            </w:pPr>
          </w:p>
          <w:p w14:paraId="39DF2334" w14:textId="77777777" w:rsidR="006C5C89" w:rsidRDefault="006C5C89" w:rsidP="00433BDE">
            <w:pPr>
              <w:jc w:val="center"/>
            </w:pPr>
            <w:r>
              <w:t>euro</w:t>
            </w:r>
          </w:p>
        </w:tc>
        <w:tc>
          <w:tcPr>
            <w:tcW w:w="2240" w:type="dxa"/>
          </w:tcPr>
          <w:p w14:paraId="40565B81" w14:textId="77777777" w:rsidR="006C5C89" w:rsidRDefault="006C5C89" w:rsidP="00433BDE">
            <w:pPr>
              <w:jc w:val="center"/>
            </w:pPr>
          </w:p>
          <w:p w14:paraId="4C0146FE" w14:textId="77777777" w:rsidR="006C5C89" w:rsidRDefault="006C5C89" w:rsidP="00433BDE">
            <w:pPr>
              <w:jc w:val="center"/>
            </w:pPr>
          </w:p>
          <w:p w14:paraId="680D6406" w14:textId="77777777" w:rsidR="006C5C89" w:rsidRDefault="006C5C89" w:rsidP="00433BDE">
            <w:pPr>
              <w:jc w:val="center"/>
            </w:pPr>
          </w:p>
          <w:p w14:paraId="64C32DA4" w14:textId="77777777" w:rsidR="006C5C89" w:rsidRDefault="006C5C89" w:rsidP="00433BDE">
            <w:pPr>
              <w:jc w:val="center"/>
            </w:pPr>
          </w:p>
          <w:p w14:paraId="2EBAE943" w14:textId="77777777" w:rsidR="006C5C89" w:rsidRDefault="006C5C89" w:rsidP="00433BDE">
            <w:pPr>
              <w:jc w:val="center"/>
            </w:pPr>
            <w:r>
              <w:t>rakendusüksus</w:t>
            </w:r>
          </w:p>
        </w:tc>
        <w:tc>
          <w:tcPr>
            <w:tcW w:w="2240" w:type="dxa"/>
          </w:tcPr>
          <w:p w14:paraId="53936C68" w14:textId="77777777" w:rsidR="006C5C89" w:rsidRDefault="006C5C89" w:rsidP="00433BDE">
            <w:pPr>
              <w:jc w:val="center"/>
            </w:pPr>
          </w:p>
          <w:p w14:paraId="59B2AD0B" w14:textId="77777777" w:rsidR="006C5C89" w:rsidRDefault="006C5C89" w:rsidP="00433BDE">
            <w:pPr>
              <w:jc w:val="center"/>
            </w:pPr>
          </w:p>
          <w:p w14:paraId="36A561FA" w14:textId="77777777" w:rsidR="006C5C89" w:rsidRDefault="006C5C89" w:rsidP="00433BDE">
            <w:pPr>
              <w:jc w:val="center"/>
            </w:pPr>
          </w:p>
          <w:p w14:paraId="01AC8BA4" w14:textId="77777777" w:rsidR="006C5C89" w:rsidRDefault="006C5C89" w:rsidP="00433BDE">
            <w:pPr>
              <w:jc w:val="center"/>
            </w:pPr>
          </w:p>
          <w:p w14:paraId="5375C18F" w14:textId="77777777" w:rsidR="006C5C89" w:rsidRDefault="006275E7" w:rsidP="00433BDE">
            <w:pPr>
              <w:jc w:val="center"/>
            </w:pPr>
            <w:r>
              <w:t>ü</w:t>
            </w:r>
            <w:r w:rsidR="006C5C89">
              <w:t>ks kord aastas</w:t>
            </w:r>
          </w:p>
        </w:tc>
      </w:tr>
    </w:tbl>
    <w:p w14:paraId="0276A96F" w14:textId="77777777" w:rsidR="00E75E11" w:rsidRDefault="00E75E11" w:rsidP="00433BDE">
      <w:pPr>
        <w:jc w:val="both"/>
      </w:pPr>
    </w:p>
    <w:p w14:paraId="1D4EB602" w14:textId="77777777" w:rsidR="00E75E11" w:rsidRDefault="00E75E11" w:rsidP="00433BDE">
      <w:pPr>
        <w:jc w:val="both"/>
      </w:pPr>
    </w:p>
    <w:p w14:paraId="6FA9246C" w14:textId="77777777" w:rsidR="00916BD8" w:rsidRPr="002E6552" w:rsidRDefault="001D4F38" w:rsidP="00433BDE">
      <w:pPr>
        <w:jc w:val="both"/>
        <w:rPr>
          <w:noProof/>
        </w:rPr>
      </w:pPr>
      <w:r w:rsidRPr="002E6552">
        <w:rPr>
          <w:noProof/>
        </w:rPr>
        <w:t>Rakenduskava toel tehtavad inve</w:t>
      </w:r>
      <w:r w:rsidR="00815381">
        <w:rPr>
          <w:noProof/>
        </w:rPr>
        <w:t>s</w:t>
      </w:r>
      <w:r w:rsidRPr="002E6552">
        <w:rPr>
          <w:noProof/>
        </w:rPr>
        <w:t xml:space="preserve">teeringud on suunatud </w:t>
      </w:r>
      <w:r w:rsidR="003F3EB6">
        <w:rPr>
          <w:noProof/>
        </w:rPr>
        <w:t>k</w:t>
      </w:r>
      <w:r w:rsidRPr="002E6552">
        <w:rPr>
          <w:noProof/>
        </w:rPr>
        <w:t xml:space="preserve">onkurentsivõime kava „Eesti 2020“ eesmärkide täitmisele. </w:t>
      </w:r>
      <w:r w:rsidR="00916BD8" w:rsidRPr="002E6552">
        <w:rPr>
          <w:noProof/>
        </w:rPr>
        <w:t xml:space="preserve">Konkurentsivõime kava „Eesti 2020“ üheks </w:t>
      </w:r>
      <w:r w:rsidR="00A357B1" w:rsidRPr="002E6552">
        <w:rPr>
          <w:noProof/>
        </w:rPr>
        <w:t>kahest peamisest eesmärgist on</w:t>
      </w:r>
      <w:r w:rsidR="00916BD8" w:rsidRPr="002E6552">
        <w:rPr>
          <w:noProof/>
        </w:rPr>
        <w:t xml:space="preserve"> tõsta tootlikkust hõivatu kohta Euroopa Liidu keskmisega võrreldes 2015. aastaks 73%ni ning 2020. aastaks 80%ni. </w:t>
      </w:r>
    </w:p>
    <w:p w14:paraId="46E72ED5" w14:textId="77777777" w:rsidR="003C7347" w:rsidRDefault="003C7347" w:rsidP="00433BDE">
      <w:pPr>
        <w:jc w:val="both"/>
        <w:rPr>
          <w:noProof/>
        </w:rPr>
      </w:pPr>
    </w:p>
    <w:p w14:paraId="2DFC74ED" w14:textId="2EB48034" w:rsidR="003C7347" w:rsidRDefault="003C7347" w:rsidP="00433BDE">
      <w:pPr>
        <w:jc w:val="both"/>
        <w:rPr>
          <w:noProof/>
        </w:rPr>
      </w:pPr>
      <w:r>
        <w:rPr>
          <w:noProof/>
        </w:rPr>
        <w:t xml:space="preserve">Täpsemalt </w:t>
      </w:r>
      <w:r w:rsidR="00520F35">
        <w:rPr>
          <w:noProof/>
        </w:rPr>
        <w:t xml:space="preserve">lahtiseletatuna, </w:t>
      </w:r>
      <w:r w:rsidR="004D0FBF">
        <w:rPr>
          <w:noProof/>
        </w:rPr>
        <w:t xml:space="preserve">vastavalt rakenduskavale  panustab eelnõu </w:t>
      </w:r>
      <w:r>
        <w:rPr>
          <w:noProof/>
        </w:rPr>
        <w:t xml:space="preserve"> Euroopa Liidu (edaspidi: </w:t>
      </w:r>
      <w:r w:rsidRPr="00615F7F">
        <w:rPr>
          <w:i/>
          <w:noProof/>
        </w:rPr>
        <w:t>EL</w:t>
      </w:r>
      <w:r>
        <w:rPr>
          <w:noProof/>
        </w:rPr>
        <w:t>) vahendite kasutamise eesmärk</w:t>
      </w:r>
      <w:r w:rsidR="004D0FBF">
        <w:rPr>
          <w:noProof/>
        </w:rPr>
        <w:t>i  -</w:t>
      </w:r>
      <w:r>
        <w:rPr>
          <w:noProof/>
        </w:rPr>
        <w:t xml:space="preserve"> Eesti ettevõtted pakuvad uuenduslikke kõrge lisandväärtusega tooteid ja teenuseid.</w:t>
      </w:r>
    </w:p>
    <w:p w14:paraId="491E6FE1" w14:textId="77777777" w:rsidR="00CB6588" w:rsidRPr="002E6552" w:rsidRDefault="00CB6588" w:rsidP="00433BDE">
      <w:pPr>
        <w:jc w:val="both"/>
        <w:rPr>
          <w:noProof/>
        </w:rPr>
      </w:pPr>
    </w:p>
    <w:p w14:paraId="2FB6E507" w14:textId="7320ACF5" w:rsidR="00D755A9" w:rsidRDefault="00324C7A" w:rsidP="00433BDE">
      <w:pPr>
        <w:jc w:val="both"/>
        <w:rPr>
          <w:noProof/>
        </w:rPr>
      </w:pPr>
      <w:r>
        <w:rPr>
          <w:noProof/>
        </w:rPr>
        <w:t>E</w:t>
      </w:r>
      <w:r w:rsidR="00372E7E">
        <w:rPr>
          <w:noProof/>
        </w:rPr>
        <w:t>e</w:t>
      </w:r>
      <w:r w:rsidR="00520F35">
        <w:rPr>
          <w:noProof/>
        </w:rPr>
        <w:t>lnõu ja sellega seotud tegevused panustavad otseselt</w:t>
      </w:r>
      <w:r w:rsidR="00372E7E">
        <w:rPr>
          <w:noProof/>
        </w:rPr>
        <w:t xml:space="preserve"> </w:t>
      </w:r>
      <w:r w:rsidR="00520F35">
        <w:rPr>
          <w:noProof/>
        </w:rPr>
        <w:t>ettevõt</w:t>
      </w:r>
      <w:r>
        <w:rPr>
          <w:noProof/>
        </w:rPr>
        <w:t>ja</w:t>
      </w:r>
      <w:r w:rsidR="00520F35">
        <w:rPr>
          <w:noProof/>
        </w:rPr>
        <w:t>te tootlikkuse kasvu</w:t>
      </w:r>
      <w:r>
        <w:rPr>
          <w:noProof/>
        </w:rPr>
        <w:t xml:space="preserve"> ja </w:t>
      </w:r>
      <w:r w:rsidR="00784F14">
        <w:rPr>
          <w:noProof/>
        </w:rPr>
        <w:t>eelnõu tähenduses vaa</w:t>
      </w:r>
      <w:r>
        <w:rPr>
          <w:noProof/>
        </w:rPr>
        <w:t xml:space="preserve">deldatkse </w:t>
      </w:r>
      <w:r w:rsidR="00372E7E">
        <w:rPr>
          <w:noProof/>
        </w:rPr>
        <w:t>ettevõt</w:t>
      </w:r>
      <w:r>
        <w:rPr>
          <w:noProof/>
        </w:rPr>
        <w:t>ja</w:t>
      </w:r>
      <w:r w:rsidR="00372E7E">
        <w:rPr>
          <w:noProof/>
        </w:rPr>
        <w:t>te tegevust tööjõu tootlikkuse võtmes.</w:t>
      </w:r>
      <w:r w:rsidR="004437D4">
        <w:rPr>
          <w:noProof/>
        </w:rPr>
        <w:t xml:space="preserve"> </w:t>
      </w:r>
      <w:r>
        <w:rPr>
          <w:noProof/>
        </w:rPr>
        <w:t>T</w:t>
      </w:r>
      <w:r w:rsidR="004437D4">
        <w:rPr>
          <w:noProof/>
        </w:rPr>
        <w:t>ööjõu tootlikkus võrdub</w:t>
      </w:r>
      <w:r w:rsidR="004437D4" w:rsidRPr="00372E7E">
        <w:rPr>
          <w:noProof/>
        </w:rPr>
        <w:t xml:space="preserve"> lisandväärtus</w:t>
      </w:r>
      <w:r w:rsidR="004D0FBF">
        <w:rPr>
          <w:noProof/>
        </w:rPr>
        <w:t>ega</w:t>
      </w:r>
      <w:r w:rsidR="004437D4" w:rsidRPr="00372E7E">
        <w:rPr>
          <w:noProof/>
        </w:rPr>
        <w:t xml:space="preserve"> ühe tööjõuühiku</w:t>
      </w:r>
      <w:r w:rsidR="004437D4">
        <w:rPr>
          <w:rStyle w:val="FootnoteReference"/>
          <w:noProof/>
        </w:rPr>
        <w:footnoteReference w:id="1"/>
      </w:r>
      <w:r w:rsidR="004437D4" w:rsidRPr="00372E7E">
        <w:rPr>
          <w:noProof/>
        </w:rPr>
        <w:t xml:space="preserve"> kohta</w:t>
      </w:r>
      <w:r w:rsidR="004437D4">
        <w:rPr>
          <w:noProof/>
        </w:rPr>
        <w:t>.</w:t>
      </w:r>
    </w:p>
    <w:p w14:paraId="167D12AA" w14:textId="77777777" w:rsidR="00372E7E" w:rsidRPr="00372E7E" w:rsidRDefault="00372E7E" w:rsidP="00433BDE">
      <w:pPr>
        <w:jc w:val="both"/>
        <w:rPr>
          <w:noProof/>
        </w:rPr>
      </w:pPr>
    </w:p>
    <w:p w14:paraId="5741C46B" w14:textId="47982652" w:rsidR="00372E7E" w:rsidRDefault="004437D4" w:rsidP="00433BDE">
      <w:pPr>
        <w:jc w:val="both"/>
        <w:rPr>
          <w:noProof/>
        </w:rPr>
      </w:pPr>
      <w:r>
        <w:rPr>
          <w:noProof/>
        </w:rPr>
        <w:t xml:space="preserve">Ettevõtete tasandil saame </w:t>
      </w:r>
      <w:r w:rsidR="00372E7E" w:rsidRPr="00372E7E">
        <w:rPr>
          <w:noProof/>
        </w:rPr>
        <w:t>lisandväärtus</w:t>
      </w:r>
      <w:r>
        <w:rPr>
          <w:noProof/>
        </w:rPr>
        <w:t xml:space="preserve">e lahti seletada kui müügitulu, </w:t>
      </w:r>
      <w:r w:rsidR="00520F35">
        <w:rPr>
          <w:noProof/>
        </w:rPr>
        <w:t xml:space="preserve">millest on maha arvestatud </w:t>
      </w:r>
      <w:r w:rsidR="00372E7E" w:rsidRPr="00372E7E">
        <w:rPr>
          <w:noProof/>
        </w:rPr>
        <w:t>kulud sisenditele</w:t>
      </w:r>
      <w:r>
        <w:rPr>
          <w:noProof/>
        </w:rPr>
        <w:t xml:space="preserve">. Viimased sõltuvad igast konkreetsest ettevõttest, tema toodetest ja pakutavatest teenustest. Tavapäraselt </w:t>
      </w:r>
      <w:r w:rsidR="005B1C42">
        <w:rPr>
          <w:noProof/>
        </w:rPr>
        <w:t xml:space="preserve">kuuluvad sisenditena arvestavate kulude hulka </w:t>
      </w:r>
      <w:r w:rsidR="00926BC9">
        <w:rPr>
          <w:noProof/>
        </w:rPr>
        <w:t xml:space="preserve">töötajatele </w:t>
      </w:r>
      <w:r w:rsidR="00372E7E">
        <w:rPr>
          <w:noProof/>
        </w:rPr>
        <w:t>makstud pa</w:t>
      </w:r>
      <w:r>
        <w:rPr>
          <w:noProof/>
        </w:rPr>
        <w:t>lgad koos maksu</w:t>
      </w:r>
      <w:r w:rsidR="00324C7A">
        <w:rPr>
          <w:noProof/>
        </w:rPr>
        <w:t>d</w:t>
      </w:r>
      <w:r>
        <w:rPr>
          <w:noProof/>
        </w:rPr>
        <w:t xml:space="preserve">ega, </w:t>
      </w:r>
      <w:r w:rsidR="00372E7E" w:rsidRPr="00372E7E">
        <w:rPr>
          <w:noProof/>
        </w:rPr>
        <w:t xml:space="preserve">ostetud </w:t>
      </w:r>
      <w:r w:rsidR="005B1C42">
        <w:rPr>
          <w:noProof/>
        </w:rPr>
        <w:t xml:space="preserve">tooraine ja materjalid, </w:t>
      </w:r>
      <w:r>
        <w:rPr>
          <w:noProof/>
        </w:rPr>
        <w:t xml:space="preserve">toote tootmiseks või teenuse pakkumiseks vajalikud </w:t>
      </w:r>
      <w:r w:rsidR="00372E7E" w:rsidRPr="00372E7E">
        <w:rPr>
          <w:noProof/>
        </w:rPr>
        <w:t>teenused</w:t>
      </w:r>
      <w:r>
        <w:rPr>
          <w:noProof/>
        </w:rPr>
        <w:t>, jne</w:t>
      </w:r>
      <w:r w:rsidR="005B1C42">
        <w:rPr>
          <w:noProof/>
        </w:rPr>
        <w:t>.</w:t>
      </w:r>
    </w:p>
    <w:p w14:paraId="111933B6" w14:textId="77777777" w:rsidR="005B1C42" w:rsidRPr="00372E7E" w:rsidRDefault="005B1C42" w:rsidP="00433BDE">
      <w:pPr>
        <w:jc w:val="both"/>
        <w:rPr>
          <w:noProof/>
        </w:rPr>
      </w:pPr>
    </w:p>
    <w:p w14:paraId="0EE183BE" w14:textId="10619D2B" w:rsidR="00372E7E" w:rsidRDefault="005B1C42" w:rsidP="00433BDE">
      <w:pPr>
        <w:jc w:val="both"/>
        <w:rPr>
          <w:noProof/>
        </w:rPr>
      </w:pPr>
      <w:r>
        <w:rPr>
          <w:noProof/>
        </w:rPr>
        <w:t xml:space="preserve">Võttes eelneva lihtsustatult kokku, on eelnõu ja sellega seotud tegevuste ülesanne aidata ettevõtjatel </w:t>
      </w:r>
      <w:r w:rsidR="00D2735A">
        <w:rPr>
          <w:noProof/>
        </w:rPr>
        <w:t xml:space="preserve">viia oma ettevõtetes ellu muutusi või käivitada protsesse, </w:t>
      </w:r>
      <w:r w:rsidR="000037E2">
        <w:rPr>
          <w:noProof/>
        </w:rPr>
        <w:t xml:space="preserve">mille tulemusena on </w:t>
      </w:r>
      <w:r w:rsidR="000037E2">
        <w:rPr>
          <w:noProof/>
        </w:rPr>
        <w:lastRenderedPageBreak/>
        <w:t xml:space="preserve">ettevõtjad </w:t>
      </w:r>
      <w:r w:rsidR="00D2735A">
        <w:rPr>
          <w:noProof/>
        </w:rPr>
        <w:t>kallimate toodete müügil ja teenuste pakkumisel</w:t>
      </w:r>
      <w:r w:rsidR="00520F35" w:rsidRPr="00520F35">
        <w:rPr>
          <w:noProof/>
        </w:rPr>
        <w:t xml:space="preserve"> </w:t>
      </w:r>
      <w:r w:rsidR="000037E2">
        <w:rPr>
          <w:noProof/>
        </w:rPr>
        <w:t>senisest majanduslikult edukamad</w:t>
      </w:r>
      <w:r w:rsidR="00D2735A">
        <w:rPr>
          <w:noProof/>
        </w:rPr>
        <w:t>.</w:t>
      </w:r>
    </w:p>
    <w:p w14:paraId="7C87D375" w14:textId="77777777" w:rsidR="00D755A9" w:rsidRDefault="00D755A9" w:rsidP="00433BDE">
      <w:pPr>
        <w:jc w:val="both"/>
        <w:rPr>
          <w:noProof/>
        </w:rPr>
      </w:pPr>
    </w:p>
    <w:p w14:paraId="01C81BA1" w14:textId="74667656" w:rsidR="00C90450" w:rsidRDefault="00784F14" w:rsidP="00433BDE">
      <w:pPr>
        <w:jc w:val="both"/>
        <w:rPr>
          <w:noProof/>
        </w:rPr>
      </w:pPr>
      <w:r>
        <w:rPr>
          <w:noProof/>
        </w:rPr>
        <w:t>E</w:t>
      </w:r>
      <w:r w:rsidR="00BD1798">
        <w:rPr>
          <w:noProof/>
        </w:rPr>
        <w:t>ttevõt</w:t>
      </w:r>
      <w:r w:rsidR="003C7347">
        <w:rPr>
          <w:noProof/>
        </w:rPr>
        <w:t>ete suutlikkus välja töötada</w:t>
      </w:r>
      <w:r w:rsidR="00BD1798">
        <w:rPr>
          <w:noProof/>
        </w:rPr>
        <w:t xml:space="preserve"> uusi tooteid ja teenuseid </w:t>
      </w:r>
      <w:r>
        <w:rPr>
          <w:noProof/>
        </w:rPr>
        <w:t xml:space="preserve">on </w:t>
      </w:r>
      <w:r w:rsidR="00BD1798">
        <w:rPr>
          <w:noProof/>
        </w:rPr>
        <w:t xml:space="preserve">üks olulisematest tootlikust mõjutavatest teguritest. Viimast kinnitab ka OECD riikides läbi viidud uuring, mille alusel saab väita, et </w:t>
      </w:r>
      <w:r w:rsidR="00D0745D">
        <w:rPr>
          <w:noProof/>
        </w:rPr>
        <w:t xml:space="preserve">mida suurem on </w:t>
      </w:r>
      <w:r>
        <w:rPr>
          <w:noProof/>
        </w:rPr>
        <w:t xml:space="preserve">teadus- ja arendustegevuse (edaspid: </w:t>
      </w:r>
      <w:r>
        <w:rPr>
          <w:i/>
          <w:noProof/>
        </w:rPr>
        <w:t xml:space="preserve">TA </w:t>
      </w:r>
      <w:r w:rsidRPr="00784F14">
        <w:rPr>
          <w:i/>
          <w:noProof/>
        </w:rPr>
        <w:t>tegevus</w:t>
      </w:r>
      <w:r>
        <w:rPr>
          <w:noProof/>
        </w:rPr>
        <w:t xml:space="preserve">) </w:t>
      </w:r>
      <w:r w:rsidR="00D0745D">
        <w:rPr>
          <w:noProof/>
        </w:rPr>
        <w:t xml:space="preserve">investeeringute osakaal riigi </w:t>
      </w:r>
      <w:r w:rsidR="00862F1C" w:rsidRPr="00862F1C">
        <w:rPr>
          <w:noProof/>
        </w:rPr>
        <w:t>Ee</w:t>
      </w:r>
      <w:r w:rsidR="00862F1C">
        <w:rPr>
          <w:noProof/>
        </w:rPr>
        <w:t>sti sisemajanduse koguproduktis</w:t>
      </w:r>
      <w:r w:rsidR="00862F1C" w:rsidRPr="00862F1C">
        <w:rPr>
          <w:noProof/>
        </w:rPr>
        <w:t xml:space="preserve"> </w:t>
      </w:r>
      <w:r w:rsidR="00862F1C">
        <w:rPr>
          <w:noProof/>
        </w:rPr>
        <w:t xml:space="preserve">(edaspidi: </w:t>
      </w:r>
      <w:r w:rsidR="00862F1C" w:rsidRPr="00862F1C">
        <w:rPr>
          <w:i/>
          <w:noProof/>
        </w:rPr>
        <w:t>SKP</w:t>
      </w:r>
      <w:r w:rsidR="00862F1C">
        <w:rPr>
          <w:noProof/>
        </w:rPr>
        <w:t>)</w:t>
      </w:r>
      <w:r w:rsidR="00D0745D">
        <w:rPr>
          <w:noProof/>
        </w:rPr>
        <w:t>, seda kõrgem on nimetatud riigi tööjõu tootlikkus.</w:t>
      </w:r>
      <w:r w:rsidR="00BD1798">
        <w:rPr>
          <w:noProof/>
        </w:rPr>
        <w:t xml:space="preserve">  </w:t>
      </w:r>
    </w:p>
    <w:p w14:paraId="74D8A728" w14:textId="77777777" w:rsidR="00BD1798" w:rsidRDefault="00BD1798" w:rsidP="00433BDE">
      <w:pPr>
        <w:jc w:val="both"/>
        <w:rPr>
          <w:noProof/>
        </w:rPr>
      </w:pPr>
    </w:p>
    <w:p w14:paraId="3691A82A" w14:textId="72E28450" w:rsidR="00C90450" w:rsidRDefault="00C22E6A" w:rsidP="00433BDE">
      <w:pPr>
        <w:jc w:val="both"/>
        <w:rPr>
          <w:noProof/>
        </w:rPr>
      </w:pPr>
      <w:r>
        <w:rPr>
          <w:noProof/>
        </w:rPr>
        <w:t>Joonis</w:t>
      </w:r>
      <w:r w:rsidR="00D0745D">
        <w:rPr>
          <w:noProof/>
        </w:rPr>
        <w:t xml:space="preserve"> 1. </w:t>
      </w:r>
      <w:r w:rsidR="00784F14">
        <w:rPr>
          <w:noProof/>
        </w:rPr>
        <w:t>TA</w:t>
      </w:r>
      <w:r w:rsidR="00C90450">
        <w:rPr>
          <w:noProof/>
        </w:rPr>
        <w:t xml:space="preserve"> investeeringud ja tööjõu tootlikuse võrdlus OECD riikides.</w:t>
      </w:r>
    </w:p>
    <w:p w14:paraId="0CED1CC4" w14:textId="77777777" w:rsidR="00784F14" w:rsidRDefault="00784F14" w:rsidP="00433BDE">
      <w:pPr>
        <w:jc w:val="both"/>
        <w:rPr>
          <w:noProof/>
        </w:rPr>
      </w:pPr>
    </w:p>
    <w:p w14:paraId="7F7545F2" w14:textId="77777777" w:rsidR="00162665" w:rsidRDefault="00162665" w:rsidP="00433BDE">
      <w:pPr>
        <w:jc w:val="both"/>
        <w:rPr>
          <w:noProof/>
        </w:rPr>
      </w:pPr>
      <w:r>
        <w:rPr>
          <w:noProof/>
          <w:lang w:val="en-US"/>
        </w:rPr>
        <w:drawing>
          <wp:inline distT="0" distB="0" distL="0" distR="0" wp14:anchorId="510D4720" wp14:editId="056E86CC">
            <wp:extent cx="5878995" cy="4174435"/>
            <wp:effectExtent l="0" t="0" r="7620" b="17145"/>
            <wp:docPr id="2" name="Diagramm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51093E56" w14:textId="77777777" w:rsidR="00162665" w:rsidRDefault="00D0745D" w:rsidP="00433BDE">
      <w:pPr>
        <w:jc w:val="both"/>
        <w:rPr>
          <w:noProof/>
        </w:rPr>
      </w:pPr>
      <w:r>
        <w:rPr>
          <w:noProof/>
        </w:rPr>
        <w:t>Allikas : OECD</w:t>
      </w:r>
    </w:p>
    <w:p w14:paraId="6AA958F5" w14:textId="77777777" w:rsidR="00162665" w:rsidRDefault="00162665" w:rsidP="00433BDE">
      <w:pPr>
        <w:jc w:val="both"/>
        <w:rPr>
          <w:noProof/>
        </w:rPr>
      </w:pPr>
    </w:p>
    <w:p w14:paraId="7DC6A889" w14:textId="7651AD67" w:rsidR="00784F14" w:rsidRDefault="00134AC7" w:rsidP="00433BDE">
      <w:pPr>
        <w:jc w:val="both"/>
        <w:rPr>
          <w:noProof/>
        </w:rPr>
      </w:pPr>
      <w:r>
        <w:rPr>
          <w:noProof/>
        </w:rPr>
        <w:t>S</w:t>
      </w:r>
      <w:r w:rsidR="003C7347">
        <w:rPr>
          <w:noProof/>
        </w:rPr>
        <w:t xml:space="preserve">iinkohal tuleb rõhutada, et </w:t>
      </w:r>
      <w:r w:rsidR="00784F14">
        <w:rPr>
          <w:noProof/>
        </w:rPr>
        <w:t xml:space="preserve">kuigi TA tegevus on väga oluline, sõltub </w:t>
      </w:r>
      <w:r w:rsidR="00FC2AD2">
        <w:rPr>
          <w:noProof/>
        </w:rPr>
        <w:t>ettevõtete tootlikkuse ja muude majandusnäitajate edukus ettevõtte erinevate tegevuste t</w:t>
      </w:r>
      <w:r w:rsidR="006A75BB">
        <w:rPr>
          <w:noProof/>
        </w:rPr>
        <w:t xml:space="preserve">ulemustest ja koosmõjust. </w:t>
      </w:r>
    </w:p>
    <w:p w14:paraId="493C816F" w14:textId="77777777" w:rsidR="00784F14" w:rsidRDefault="00784F14" w:rsidP="00433BDE">
      <w:pPr>
        <w:jc w:val="both"/>
        <w:rPr>
          <w:noProof/>
        </w:rPr>
      </w:pPr>
    </w:p>
    <w:p w14:paraId="59833604" w14:textId="0509F875" w:rsidR="00AD6FDE" w:rsidRDefault="00AD6FDE" w:rsidP="00433BDE">
      <w:pPr>
        <w:jc w:val="both"/>
        <w:rPr>
          <w:lang w:eastAsia="et-EE"/>
        </w:rPr>
      </w:pPr>
      <w:r>
        <w:rPr>
          <w:lang w:eastAsia="et-EE"/>
        </w:rPr>
        <w:t>Eesti ettevõtjate poolt kõrge</w:t>
      </w:r>
      <w:r w:rsidR="00784F14">
        <w:rPr>
          <w:lang w:eastAsia="et-EE"/>
        </w:rPr>
        <w:t xml:space="preserve"> </w:t>
      </w:r>
      <w:r>
        <w:rPr>
          <w:lang w:eastAsia="et-EE"/>
        </w:rPr>
        <w:t>lisandväärtusega uuenduslike toodete</w:t>
      </w:r>
      <w:r w:rsidR="00FD4D42">
        <w:rPr>
          <w:lang w:eastAsia="et-EE"/>
        </w:rPr>
        <w:t xml:space="preserve"> ja teenuste pakkumise eeldus</w:t>
      </w:r>
      <w:r>
        <w:rPr>
          <w:lang w:eastAsia="et-EE"/>
        </w:rPr>
        <w:t xml:space="preserve"> on, et Eesti ettevõtjate tooteportfell sisaldaks kallima</w:t>
      </w:r>
      <w:r w:rsidR="00324C7A">
        <w:rPr>
          <w:lang w:eastAsia="et-EE"/>
        </w:rPr>
        <w:t xml:space="preserve">id </w:t>
      </w:r>
      <w:r>
        <w:rPr>
          <w:lang w:eastAsia="et-EE"/>
        </w:rPr>
        <w:t>ja tehnoloogiliselt keerukamaid lõpptooteid ja -teenuseid. Ettevõtj</w:t>
      </w:r>
      <w:r w:rsidR="00FC2AD2">
        <w:rPr>
          <w:lang w:eastAsia="et-EE"/>
        </w:rPr>
        <w:t>ad, kelle tooteportfellis on</w:t>
      </w:r>
      <w:r>
        <w:rPr>
          <w:lang w:eastAsia="et-EE"/>
        </w:rPr>
        <w:t xml:space="preserve"> </w:t>
      </w:r>
      <w:r w:rsidR="00FC2AD2">
        <w:rPr>
          <w:lang w:eastAsia="et-EE"/>
        </w:rPr>
        <w:t xml:space="preserve">eelnimetatud </w:t>
      </w:r>
      <w:r w:rsidR="00134AC7">
        <w:rPr>
          <w:lang w:eastAsia="et-EE"/>
        </w:rPr>
        <w:t xml:space="preserve">tooted ja </w:t>
      </w:r>
      <w:r w:rsidR="00324C7A">
        <w:rPr>
          <w:lang w:eastAsia="et-EE"/>
        </w:rPr>
        <w:t>-</w:t>
      </w:r>
      <w:r w:rsidR="00134AC7">
        <w:rPr>
          <w:lang w:eastAsia="et-EE"/>
        </w:rPr>
        <w:t>teenuse</w:t>
      </w:r>
      <w:r>
        <w:rPr>
          <w:lang w:eastAsia="et-EE"/>
        </w:rPr>
        <w:t xml:space="preserve">d on üldjuhul ettevõtjad, kes on ise oma lõpptooted ja </w:t>
      </w:r>
      <w:r w:rsidR="00324C7A">
        <w:rPr>
          <w:lang w:eastAsia="et-EE"/>
        </w:rPr>
        <w:t>-</w:t>
      </w:r>
      <w:r>
        <w:rPr>
          <w:lang w:eastAsia="et-EE"/>
        </w:rPr>
        <w:t xml:space="preserve">teenused </w:t>
      </w:r>
      <w:r w:rsidR="00784F14">
        <w:rPr>
          <w:lang w:eastAsia="et-EE"/>
        </w:rPr>
        <w:t>välja arendanud või oma toodete</w:t>
      </w:r>
      <w:r>
        <w:rPr>
          <w:lang w:eastAsia="et-EE"/>
        </w:rPr>
        <w:t xml:space="preserve"> või teenuste arendamise protsesse juhtinud. See omakorda eeldab, et ettevõtjatel on ühelt poolt teadmised ja oskused</w:t>
      </w:r>
      <w:r w:rsidR="00324C7A">
        <w:rPr>
          <w:lang w:eastAsia="et-EE"/>
        </w:rPr>
        <w:t>,</w:t>
      </w:r>
      <w:r>
        <w:rPr>
          <w:lang w:eastAsia="et-EE"/>
        </w:rPr>
        <w:t xml:space="preserve"> </w:t>
      </w:r>
      <w:r w:rsidR="00FC2AD2">
        <w:rPr>
          <w:lang w:eastAsia="et-EE"/>
        </w:rPr>
        <w:t xml:space="preserve">kuidas arendustööd läbi viia </w:t>
      </w:r>
      <w:r>
        <w:rPr>
          <w:lang w:eastAsia="et-EE"/>
        </w:rPr>
        <w:t xml:space="preserve">ning teisalt ka </w:t>
      </w:r>
      <w:r w:rsidR="00FC2AD2">
        <w:rPr>
          <w:lang w:eastAsia="et-EE"/>
        </w:rPr>
        <w:t xml:space="preserve">arendustöö läbiviimise </w:t>
      </w:r>
      <w:r>
        <w:rPr>
          <w:lang w:eastAsia="et-EE"/>
        </w:rPr>
        <w:t>ressursid</w:t>
      </w:r>
      <w:r w:rsidR="00324C7A">
        <w:rPr>
          <w:lang w:eastAsia="et-EE"/>
        </w:rPr>
        <w:t xml:space="preserve"> −</w:t>
      </w:r>
      <w:r>
        <w:rPr>
          <w:lang w:eastAsia="et-EE"/>
        </w:rPr>
        <w:t>raha, inimesed ja materjalid.</w:t>
      </w:r>
    </w:p>
    <w:p w14:paraId="19BC229A" w14:textId="77777777" w:rsidR="00AD6FDE" w:rsidRDefault="00AD6FDE" w:rsidP="00433BDE">
      <w:pPr>
        <w:jc w:val="both"/>
        <w:rPr>
          <w:lang w:eastAsia="et-EE"/>
        </w:rPr>
      </w:pPr>
    </w:p>
    <w:p w14:paraId="61883E0B" w14:textId="156D373B" w:rsidR="00AD6FDE" w:rsidRDefault="00AD6FDE" w:rsidP="00433BDE">
      <w:pPr>
        <w:jc w:val="both"/>
        <w:rPr>
          <w:lang w:eastAsia="et-EE"/>
        </w:rPr>
      </w:pPr>
      <w:r>
        <w:rPr>
          <w:lang w:eastAsia="et-EE"/>
        </w:rPr>
        <w:t>Uuenduslikud ja kõrgelisandväärtusega to</w:t>
      </w:r>
      <w:r w:rsidR="008556AD">
        <w:rPr>
          <w:lang w:eastAsia="et-EE"/>
        </w:rPr>
        <w:t>oted ja teenused on üksnes siis</w:t>
      </w:r>
      <w:r>
        <w:rPr>
          <w:lang w:eastAsia="et-EE"/>
        </w:rPr>
        <w:t xml:space="preserve"> ettevõtjatele olulised</w:t>
      </w:r>
      <w:r w:rsidR="00324C7A">
        <w:rPr>
          <w:lang w:eastAsia="et-EE"/>
        </w:rPr>
        <w:t>,</w:t>
      </w:r>
      <w:r>
        <w:rPr>
          <w:lang w:eastAsia="et-EE"/>
        </w:rPr>
        <w:t xml:space="preserve"> kui nendel toodetel ja teenustel on kliendid, kes nimetatud</w:t>
      </w:r>
      <w:r w:rsidR="00FC2AD2">
        <w:rPr>
          <w:lang w:eastAsia="et-EE"/>
        </w:rPr>
        <w:t xml:space="preserve"> tooteid ja teenuseid </w:t>
      </w:r>
      <w:r w:rsidR="00FC2AD2">
        <w:rPr>
          <w:lang w:eastAsia="et-EE"/>
        </w:rPr>
        <w:lastRenderedPageBreak/>
        <w:t>vajavad ning</w:t>
      </w:r>
      <w:r>
        <w:rPr>
          <w:lang w:eastAsia="et-EE"/>
        </w:rPr>
        <w:t xml:space="preserve"> on nõus neid </w:t>
      </w:r>
      <w:r w:rsidR="00FC2AD2">
        <w:rPr>
          <w:lang w:eastAsia="et-EE"/>
        </w:rPr>
        <w:t xml:space="preserve">soovitud hinnaga </w:t>
      </w:r>
      <w:r>
        <w:rPr>
          <w:lang w:eastAsia="et-EE"/>
        </w:rPr>
        <w:t xml:space="preserve">ostma. Edu toodete ja teenuste müügil tagab klientide ja nende vajaduste tundmine ning selle teadmise alusel nii </w:t>
      </w:r>
      <w:r w:rsidR="00134AC7">
        <w:rPr>
          <w:lang w:eastAsia="et-EE"/>
        </w:rPr>
        <w:t xml:space="preserve">uute </w:t>
      </w:r>
      <w:r>
        <w:rPr>
          <w:lang w:eastAsia="et-EE"/>
        </w:rPr>
        <w:t>toodete ja teenuste väljatöötamine kui ka turundus- ja müügistrateegiad koostamine ja -tegevuste elluviimine.</w:t>
      </w:r>
    </w:p>
    <w:p w14:paraId="42C10C81" w14:textId="77777777" w:rsidR="00AD6FDE" w:rsidRDefault="00AD6FDE" w:rsidP="00433BDE">
      <w:pPr>
        <w:jc w:val="both"/>
        <w:rPr>
          <w:lang w:eastAsia="et-EE"/>
        </w:rPr>
      </w:pPr>
    </w:p>
    <w:p w14:paraId="030988E8" w14:textId="77777777" w:rsidR="00AD6FDE" w:rsidRDefault="00AD6FDE" w:rsidP="00433BDE">
      <w:pPr>
        <w:jc w:val="both"/>
        <w:rPr>
          <w:lang w:eastAsia="et-EE"/>
        </w:rPr>
      </w:pPr>
      <w:r>
        <w:rPr>
          <w:lang w:eastAsia="et-EE"/>
        </w:rPr>
        <w:t>Lisaks uute lõpptoodete ja -teenuste olemasolule on oluline, et toodete tootmisprotsessid ja teenuste pakkumise protsessid oleksid efektiivsed ja vastaksid to</w:t>
      </w:r>
      <w:r w:rsidR="00FC2AD2">
        <w:rPr>
          <w:lang w:eastAsia="et-EE"/>
        </w:rPr>
        <w:t>ote või teenuse omapärale. Samavõrd muude teguritega</w:t>
      </w:r>
      <w:r>
        <w:rPr>
          <w:lang w:eastAsia="et-EE"/>
        </w:rPr>
        <w:t xml:space="preserve">  mõjutavad ettevõtja arendus- ja müügitegevuse edukust ka vastavate protsesside läbimõeldus ja tõhusus.</w:t>
      </w:r>
    </w:p>
    <w:p w14:paraId="1FD5F02B" w14:textId="77777777" w:rsidR="00AD6FDE" w:rsidRDefault="00AD6FDE" w:rsidP="00433BDE">
      <w:pPr>
        <w:jc w:val="both"/>
        <w:rPr>
          <w:lang w:eastAsia="et-EE"/>
        </w:rPr>
      </w:pPr>
    </w:p>
    <w:p w14:paraId="6D6B6AD3" w14:textId="6A8D5194" w:rsidR="00AD6FDE" w:rsidRDefault="00091889" w:rsidP="00433BDE">
      <w:pPr>
        <w:jc w:val="both"/>
        <w:rPr>
          <w:lang w:eastAsia="et-EE"/>
        </w:rPr>
      </w:pPr>
      <w:r>
        <w:rPr>
          <w:lang w:eastAsia="et-EE"/>
        </w:rPr>
        <w:t>E</w:t>
      </w:r>
      <w:r w:rsidR="00AD6FDE">
        <w:rPr>
          <w:lang w:eastAsia="et-EE"/>
        </w:rPr>
        <w:t xml:space="preserve">ttevõtete kõikide tegevuste edukuse peamine tagatis on kõrgete teadmiste ja oskustega töötajad </w:t>
      </w:r>
      <w:r w:rsidR="00324C7A">
        <w:rPr>
          <w:lang w:eastAsia="et-EE"/>
        </w:rPr>
        <w:t xml:space="preserve">ja </w:t>
      </w:r>
      <w:r w:rsidR="00AD6FDE">
        <w:rPr>
          <w:lang w:eastAsia="et-EE"/>
        </w:rPr>
        <w:t xml:space="preserve">juhid. </w:t>
      </w:r>
      <w:r>
        <w:rPr>
          <w:lang w:eastAsia="et-EE"/>
        </w:rPr>
        <w:t>Teisisõnu, inimesed mõjutavad kõige enam ettevõtete edukust.</w:t>
      </w:r>
    </w:p>
    <w:p w14:paraId="4CEE2340" w14:textId="77777777" w:rsidR="00AD6FDE" w:rsidRDefault="00AD6FDE" w:rsidP="00433BDE">
      <w:pPr>
        <w:jc w:val="both"/>
        <w:rPr>
          <w:lang w:eastAsia="et-EE"/>
        </w:rPr>
      </w:pPr>
    </w:p>
    <w:p w14:paraId="66CB3F2A" w14:textId="77777777" w:rsidR="00AD6FDE" w:rsidRDefault="00AD6FDE" w:rsidP="00433BDE">
      <w:pPr>
        <w:jc w:val="both"/>
        <w:rPr>
          <w:lang w:eastAsia="et-EE"/>
        </w:rPr>
      </w:pPr>
      <w:r>
        <w:rPr>
          <w:lang w:eastAsia="et-EE"/>
        </w:rPr>
        <w:t>Eelnevast lähtub, et ettevõtted, kes soovivad pakkuda oma klientidele uuenduslikke ja kõrge lisandväärtusega tooteid ja teenuseid peavad selleks tegelema mitmete erinevate tegevustega. Tihtilug</w:t>
      </w:r>
      <w:r w:rsidR="00FD4D42">
        <w:rPr>
          <w:lang w:eastAsia="et-EE"/>
        </w:rPr>
        <w:t>u nõuab edukas tulemus, et neid</w:t>
      </w:r>
      <w:r>
        <w:rPr>
          <w:lang w:eastAsia="et-EE"/>
        </w:rPr>
        <w:t xml:space="preserve"> tegevusi v</w:t>
      </w:r>
      <w:r w:rsidR="00FD4D42">
        <w:rPr>
          <w:lang w:eastAsia="et-EE"/>
        </w:rPr>
        <w:t xml:space="preserve">iiakse läbi paralleelselt või sõltub ühe tegevuse alustamine mõne </w:t>
      </w:r>
      <w:r>
        <w:rPr>
          <w:lang w:eastAsia="et-EE"/>
        </w:rPr>
        <w:t>t</w:t>
      </w:r>
      <w:r w:rsidR="00091889">
        <w:rPr>
          <w:lang w:eastAsia="et-EE"/>
        </w:rPr>
        <w:t>eise tegevuse lõpptulemusest</w:t>
      </w:r>
      <w:r>
        <w:rPr>
          <w:lang w:eastAsia="et-EE"/>
        </w:rPr>
        <w:t>. Erinevate tegevuste, mis üksteist mõjutavad ja mis võivad kulgeda nii paralleelselt kui ka järjestikku, tervikuks kokkusidumine ja nende läbiviimiseks v</w:t>
      </w:r>
      <w:r w:rsidR="00FD4D42">
        <w:rPr>
          <w:lang w:eastAsia="et-EE"/>
        </w:rPr>
        <w:t>ajamineva ressursi planeerimine</w:t>
      </w:r>
      <w:r>
        <w:rPr>
          <w:lang w:eastAsia="et-EE"/>
        </w:rPr>
        <w:t xml:space="preserve"> nõuab </w:t>
      </w:r>
      <w:r w:rsidR="00FC2AD2">
        <w:rPr>
          <w:lang w:eastAsia="et-EE"/>
        </w:rPr>
        <w:t xml:space="preserve">esmalt </w:t>
      </w:r>
      <w:r w:rsidR="00600533">
        <w:rPr>
          <w:lang w:eastAsia="et-EE"/>
        </w:rPr>
        <w:t xml:space="preserve">strateegilist arusaama, </w:t>
      </w:r>
      <w:r w:rsidR="00745B6D">
        <w:rPr>
          <w:lang w:eastAsia="et-EE"/>
        </w:rPr>
        <w:t xml:space="preserve">millist muutust </w:t>
      </w:r>
      <w:r w:rsidR="00FD4D42">
        <w:rPr>
          <w:lang w:eastAsia="et-EE"/>
        </w:rPr>
        <w:t xml:space="preserve">soovitakse </w:t>
      </w:r>
      <w:r w:rsidR="00745B6D">
        <w:rPr>
          <w:lang w:eastAsia="et-EE"/>
        </w:rPr>
        <w:t xml:space="preserve">ellu kutsuda. </w:t>
      </w:r>
      <w:r w:rsidR="00FD4D42">
        <w:rPr>
          <w:lang w:eastAsia="et-EE"/>
        </w:rPr>
        <w:t>Teisisõnu,</w:t>
      </w:r>
      <w:r w:rsidR="00745B6D">
        <w:rPr>
          <w:lang w:eastAsia="et-EE"/>
        </w:rPr>
        <w:t xml:space="preserve"> </w:t>
      </w:r>
      <w:r w:rsidR="000371AD">
        <w:rPr>
          <w:lang w:eastAsia="et-EE"/>
        </w:rPr>
        <w:t>täpse lõppeesmärgi sõnastamist</w:t>
      </w:r>
      <w:r w:rsidR="00FD4D42">
        <w:rPr>
          <w:lang w:eastAsia="et-EE"/>
        </w:rPr>
        <w:t xml:space="preserve">. </w:t>
      </w:r>
      <w:r w:rsidR="000371AD">
        <w:rPr>
          <w:lang w:eastAsia="et-EE"/>
        </w:rPr>
        <w:t xml:space="preserve"> </w:t>
      </w:r>
      <w:r w:rsidR="00FD4D42">
        <w:rPr>
          <w:lang w:eastAsia="et-EE"/>
        </w:rPr>
        <w:t xml:space="preserve">Järgmisena </w:t>
      </w:r>
      <w:r w:rsidR="00091889">
        <w:rPr>
          <w:lang w:eastAsia="et-EE"/>
        </w:rPr>
        <w:t xml:space="preserve">sammuna </w:t>
      </w:r>
      <w:r w:rsidR="00FD4D42">
        <w:rPr>
          <w:lang w:eastAsia="et-EE"/>
        </w:rPr>
        <w:t>tuleb lõppeesmärgi</w:t>
      </w:r>
      <w:r w:rsidR="000371AD">
        <w:rPr>
          <w:lang w:eastAsia="et-EE"/>
        </w:rPr>
        <w:t xml:space="preserve"> täitmiseks</w:t>
      </w:r>
      <w:r w:rsidR="00FC2AD2">
        <w:rPr>
          <w:lang w:eastAsia="et-EE"/>
        </w:rPr>
        <w:t xml:space="preserve"> </w:t>
      </w:r>
      <w:r w:rsidR="00FD4D42">
        <w:rPr>
          <w:lang w:eastAsia="et-EE"/>
        </w:rPr>
        <w:t>koostada pikemaajaline</w:t>
      </w:r>
      <w:r>
        <w:rPr>
          <w:lang w:eastAsia="et-EE"/>
        </w:rPr>
        <w:t xml:space="preserve"> </w:t>
      </w:r>
      <w:r w:rsidR="00FD4D42">
        <w:rPr>
          <w:lang w:eastAsia="et-EE"/>
        </w:rPr>
        <w:t>ja kõiki tegevusi hõlmav</w:t>
      </w:r>
      <w:r w:rsidR="000371AD">
        <w:rPr>
          <w:lang w:eastAsia="et-EE"/>
        </w:rPr>
        <w:t xml:space="preserve"> </w:t>
      </w:r>
      <w:r w:rsidR="00FD4D42">
        <w:rPr>
          <w:lang w:eastAsia="et-EE"/>
        </w:rPr>
        <w:t>plaan</w:t>
      </w:r>
      <w:r>
        <w:rPr>
          <w:lang w:eastAsia="et-EE"/>
        </w:rPr>
        <w:t>.</w:t>
      </w:r>
      <w:r w:rsidR="00600533">
        <w:rPr>
          <w:lang w:eastAsia="et-EE"/>
        </w:rPr>
        <w:t xml:space="preserve"> </w:t>
      </w:r>
    </w:p>
    <w:p w14:paraId="1E432433" w14:textId="77777777" w:rsidR="002567B6" w:rsidRDefault="002567B6" w:rsidP="00433BDE">
      <w:pPr>
        <w:jc w:val="both"/>
        <w:rPr>
          <w:noProof/>
        </w:rPr>
      </w:pPr>
    </w:p>
    <w:p w14:paraId="10D06843" w14:textId="4A7F99FE" w:rsidR="00C5666F" w:rsidRPr="002E6552" w:rsidRDefault="00745B6D" w:rsidP="00433BDE">
      <w:pPr>
        <w:jc w:val="both"/>
        <w:rPr>
          <w:noProof/>
        </w:rPr>
      </w:pPr>
      <w:r>
        <w:rPr>
          <w:noProof/>
        </w:rPr>
        <w:t>Erinevatest</w:t>
      </w:r>
      <w:r w:rsidR="004F6B69">
        <w:rPr>
          <w:noProof/>
        </w:rPr>
        <w:t xml:space="preserve"> </w:t>
      </w:r>
      <w:r w:rsidR="00600533">
        <w:rPr>
          <w:noProof/>
        </w:rPr>
        <w:t>uuringutest</w:t>
      </w:r>
      <w:r w:rsidR="003D3763">
        <w:rPr>
          <w:rStyle w:val="FootnoteReference"/>
          <w:noProof/>
        </w:rPr>
        <w:footnoteReference w:id="2"/>
      </w:r>
      <w:r w:rsidR="00324C7A">
        <w:rPr>
          <w:noProof/>
        </w:rPr>
        <w:t xml:space="preserve"> </w:t>
      </w:r>
      <w:r w:rsidR="00600533">
        <w:rPr>
          <w:noProof/>
        </w:rPr>
        <w:t xml:space="preserve">nähtub, et </w:t>
      </w:r>
      <w:r>
        <w:rPr>
          <w:noProof/>
        </w:rPr>
        <w:t>enamusel Eesti ettevõtjatest ei ole pikemaajalist ettevõt</w:t>
      </w:r>
      <w:r w:rsidR="00091889">
        <w:rPr>
          <w:noProof/>
        </w:rPr>
        <w:t>t</w:t>
      </w:r>
      <w:r>
        <w:rPr>
          <w:noProof/>
        </w:rPr>
        <w:t xml:space="preserve">e arengut kirjeldavat ja ellu viia aitavat </w:t>
      </w:r>
      <w:r w:rsidR="00916D8B">
        <w:rPr>
          <w:noProof/>
        </w:rPr>
        <w:t>strateegiat</w:t>
      </w:r>
      <w:r w:rsidR="00091889">
        <w:rPr>
          <w:noProof/>
        </w:rPr>
        <w:t xml:space="preserve"> või tegevuskava.</w:t>
      </w:r>
    </w:p>
    <w:p w14:paraId="263C7A81" w14:textId="77777777" w:rsidR="003751EE" w:rsidRPr="002E6552" w:rsidRDefault="003751EE" w:rsidP="00433BDE">
      <w:pPr>
        <w:jc w:val="both"/>
        <w:rPr>
          <w:noProof/>
        </w:rPr>
      </w:pPr>
    </w:p>
    <w:p w14:paraId="7934681F" w14:textId="3F6177FE" w:rsidR="009743F7" w:rsidRDefault="00420642" w:rsidP="00433BDE">
      <w:pPr>
        <w:jc w:val="both"/>
        <w:rPr>
          <w:noProof/>
        </w:rPr>
      </w:pPr>
      <w:r>
        <w:rPr>
          <w:noProof/>
        </w:rPr>
        <w:t>Võttes arvesse eeltoodut ja lähtudes soovist aidata ettevõtjatel läbi viia vajaminevaid muudatusi võimalikult tulemusrikkalt ning samas ka saavutada struktuurifondide toetuste jagamisel võimalikult suur tegelik mõju, on välja töötatud terviksüsteem – ettev</w:t>
      </w:r>
      <w:r w:rsidR="00C22E6A">
        <w:rPr>
          <w:noProof/>
        </w:rPr>
        <w:t>õt</w:t>
      </w:r>
      <w:r>
        <w:rPr>
          <w:noProof/>
        </w:rPr>
        <w:t>te arenguprogramm. Käesoleva meetme abil ü</w:t>
      </w:r>
      <w:r w:rsidR="00C22E6A">
        <w:rPr>
          <w:noProof/>
        </w:rPr>
        <w:t>helt poolt rahastatakse ettevõt</w:t>
      </w:r>
      <w:r>
        <w:rPr>
          <w:noProof/>
        </w:rPr>
        <w:t>te arenguprogrammi te</w:t>
      </w:r>
      <w:r w:rsidR="00C22E6A">
        <w:rPr>
          <w:noProof/>
        </w:rPr>
        <w:t>gevusi. Teisalt aitavad ettevõt</w:t>
      </w:r>
      <w:r>
        <w:rPr>
          <w:noProof/>
        </w:rPr>
        <w:t xml:space="preserve">te arenguprogrammi muud tegevused kaasa </w:t>
      </w:r>
      <w:r w:rsidR="00CC2804">
        <w:rPr>
          <w:noProof/>
        </w:rPr>
        <w:t xml:space="preserve">käesoleva </w:t>
      </w:r>
      <w:r>
        <w:rPr>
          <w:noProof/>
        </w:rPr>
        <w:t>meetme tegevuste planeerimisele, ettevalmistamisele ja elluviimisele.</w:t>
      </w:r>
    </w:p>
    <w:p w14:paraId="6A8B757B" w14:textId="77777777" w:rsidR="007F45ED" w:rsidRDefault="007F45ED" w:rsidP="00433BDE">
      <w:pPr>
        <w:jc w:val="both"/>
        <w:rPr>
          <w:noProof/>
        </w:rPr>
      </w:pPr>
    </w:p>
    <w:p w14:paraId="0326D238" w14:textId="0EEC8158" w:rsidR="007F45ED" w:rsidRDefault="00CC2804" w:rsidP="00433BDE">
      <w:pPr>
        <w:jc w:val="both"/>
        <w:rPr>
          <w:noProof/>
        </w:rPr>
      </w:pPr>
      <w:r>
        <w:rPr>
          <w:noProof/>
        </w:rPr>
        <w:t>Ettev</w:t>
      </w:r>
      <w:r w:rsidR="00C22E6A">
        <w:rPr>
          <w:noProof/>
        </w:rPr>
        <w:t>õt</w:t>
      </w:r>
      <w:r>
        <w:rPr>
          <w:noProof/>
        </w:rPr>
        <w:t>te</w:t>
      </w:r>
      <w:r w:rsidR="007F45ED">
        <w:rPr>
          <w:noProof/>
        </w:rPr>
        <w:t xml:space="preserve"> arenguprogramm on ettevõtjat tema planeerimis- ja juhtimisotsuste tegemisel  toetav ja ettevõtja eripä</w:t>
      </w:r>
      <w:r w:rsidR="00134AC7">
        <w:rPr>
          <w:noProof/>
        </w:rPr>
        <w:t xml:space="preserve">rasid arvestav mudel, </w:t>
      </w:r>
      <w:r>
        <w:rPr>
          <w:noProof/>
        </w:rPr>
        <w:t>mis baseerub ettevõtja pikaajalise</w:t>
      </w:r>
      <w:r w:rsidR="007F45ED">
        <w:rPr>
          <w:noProof/>
        </w:rPr>
        <w:t xml:space="preserve"> (keskmiselt 3-5 aastat) arengustrateegia – arenguplaani ettevalmistamisel ja elluviimisel.</w:t>
      </w:r>
    </w:p>
    <w:p w14:paraId="035B5C5B" w14:textId="77777777" w:rsidR="007F45ED" w:rsidRDefault="007F45ED" w:rsidP="00433BDE">
      <w:pPr>
        <w:jc w:val="both"/>
        <w:rPr>
          <w:noProof/>
        </w:rPr>
      </w:pPr>
    </w:p>
    <w:p w14:paraId="62F2B067" w14:textId="600B45B8" w:rsidR="007F45ED" w:rsidRDefault="00C22E6A" w:rsidP="00433BDE">
      <w:pPr>
        <w:jc w:val="both"/>
        <w:rPr>
          <w:noProof/>
        </w:rPr>
      </w:pPr>
      <w:r>
        <w:rPr>
          <w:noProof/>
        </w:rPr>
        <w:t>Ettevõt</w:t>
      </w:r>
      <w:r w:rsidR="007F45ED">
        <w:rPr>
          <w:noProof/>
        </w:rPr>
        <w:t xml:space="preserve">te arenguprogramm annab ettevõtjale </w:t>
      </w:r>
      <w:r w:rsidR="00091889">
        <w:rPr>
          <w:noProof/>
        </w:rPr>
        <w:t xml:space="preserve">nii tööriistad kui ka pakub suunavat </w:t>
      </w:r>
      <w:r w:rsidR="007F45ED">
        <w:rPr>
          <w:noProof/>
        </w:rPr>
        <w:t>abi tema ettevõtte arendamiseks ja tänasest keeru</w:t>
      </w:r>
      <w:r w:rsidR="00324C7A">
        <w:rPr>
          <w:noProof/>
        </w:rPr>
        <w:t>ka</w:t>
      </w:r>
      <w:r w:rsidR="007F45ED">
        <w:rPr>
          <w:noProof/>
        </w:rPr>
        <w:t>male toimismudelile üleviimiseks.</w:t>
      </w:r>
    </w:p>
    <w:p w14:paraId="136649BC" w14:textId="77777777" w:rsidR="00CC2804" w:rsidRDefault="00CC2804" w:rsidP="00433BDE">
      <w:pPr>
        <w:jc w:val="both"/>
        <w:rPr>
          <w:noProof/>
        </w:rPr>
      </w:pPr>
    </w:p>
    <w:p w14:paraId="5627722F" w14:textId="303AE224" w:rsidR="007F45ED" w:rsidRDefault="00C22E6A" w:rsidP="00433BDE">
      <w:pPr>
        <w:jc w:val="both"/>
        <w:rPr>
          <w:noProof/>
        </w:rPr>
      </w:pPr>
      <w:r>
        <w:rPr>
          <w:noProof/>
        </w:rPr>
        <w:lastRenderedPageBreak/>
        <w:t>Ettevõt</w:t>
      </w:r>
      <w:r w:rsidR="007F45ED">
        <w:rPr>
          <w:noProof/>
        </w:rPr>
        <w:t>te arenguprogramm koosneb kolmest etapist:</w:t>
      </w:r>
    </w:p>
    <w:p w14:paraId="42545A74" w14:textId="77777777" w:rsidR="007F45ED" w:rsidRPr="007F45ED" w:rsidRDefault="007F45ED" w:rsidP="00433BDE">
      <w:pPr>
        <w:pStyle w:val="ListParagraph"/>
        <w:numPr>
          <w:ilvl w:val="0"/>
          <w:numId w:val="9"/>
        </w:numPr>
        <w:spacing w:line="240" w:lineRule="auto"/>
        <w:jc w:val="both"/>
        <w:rPr>
          <w:rFonts w:ascii="Times New Roman" w:hAnsi="Times New Roman"/>
          <w:noProof/>
          <w:sz w:val="24"/>
          <w:szCs w:val="24"/>
        </w:rPr>
      </w:pPr>
      <w:r w:rsidRPr="007F45ED">
        <w:rPr>
          <w:rFonts w:ascii="Times New Roman" w:hAnsi="Times New Roman"/>
          <w:noProof/>
          <w:sz w:val="24"/>
          <w:szCs w:val="24"/>
        </w:rPr>
        <w:t>Ettevõtja ambitsiooni (ehk muudatuste tegemise soovi ja muudatuste tegemiseks vajalike eelduste) väljaselgitamine.</w:t>
      </w:r>
    </w:p>
    <w:p w14:paraId="391EE4C4" w14:textId="77777777" w:rsidR="007F45ED" w:rsidRPr="007F45ED" w:rsidRDefault="007F45ED" w:rsidP="00433BDE">
      <w:pPr>
        <w:pStyle w:val="ListParagraph"/>
        <w:numPr>
          <w:ilvl w:val="0"/>
          <w:numId w:val="9"/>
        </w:numPr>
        <w:spacing w:line="240" w:lineRule="auto"/>
        <w:jc w:val="both"/>
        <w:rPr>
          <w:rFonts w:ascii="Times New Roman" w:hAnsi="Times New Roman"/>
          <w:noProof/>
          <w:sz w:val="24"/>
          <w:szCs w:val="24"/>
        </w:rPr>
      </w:pPr>
      <w:r>
        <w:rPr>
          <w:rFonts w:ascii="Times New Roman" w:hAnsi="Times New Roman"/>
          <w:noProof/>
          <w:sz w:val="24"/>
          <w:szCs w:val="24"/>
        </w:rPr>
        <w:t>Arenguplaani ettevalmistamine ja väljatöötamime</w:t>
      </w:r>
      <w:r w:rsidRPr="007F45ED">
        <w:rPr>
          <w:rFonts w:ascii="Times New Roman" w:hAnsi="Times New Roman"/>
          <w:noProof/>
          <w:sz w:val="24"/>
          <w:szCs w:val="24"/>
        </w:rPr>
        <w:t>.</w:t>
      </w:r>
    </w:p>
    <w:p w14:paraId="713AF7C3" w14:textId="77777777" w:rsidR="00420642" w:rsidRPr="007F45ED" w:rsidRDefault="007F45ED" w:rsidP="00433BDE">
      <w:pPr>
        <w:pStyle w:val="ListParagraph"/>
        <w:numPr>
          <w:ilvl w:val="0"/>
          <w:numId w:val="9"/>
        </w:numPr>
        <w:spacing w:line="240" w:lineRule="auto"/>
        <w:jc w:val="both"/>
        <w:rPr>
          <w:rFonts w:ascii="Times New Roman" w:hAnsi="Times New Roman"/>
          <w:noProof/>
          <w:sz w:val="24"/>
          <w:szCs w:val="24"/>
        </w:rPr>
      </w:pPr>
      <w:r w:rsidRPr="007F45ED">
        <w:rPr>
          <w:rFonts w:ascii="Times New Roman" w:hAnsi="Times New Roman"/>
          <w:noProof/>
          <w:sz w:val="24"/>
          <w:szCs w:val="24"/>
        </w:rPr>
        <w:t>Are</w:t>
      </w:r>
      <w:r>
        <w:rPr>
          <w:rFonts w:ascii="Times New Roman" w:hAnsi="Times New Roman"/>
          <w:noProof/>
          <w:sz w:val="24"/>
          <w:szCs w:val="24"/>
        </w:rPr>
        <w:t>nguplaani elluviimine</w:t>
      </w:r>
      <w:r w:rsidRPr="007F45ED">
        <w:rPr>
          <w:rFonts w:ascii="Times New Roman" w:hAnsi="Times New Roman"/>
          <w:noProof/>
          <w:sz w:val="24"/>
          <w:szCs w:val="24"/>
        </w:rPr>
        <w:t>.</w:t>
      </w:r>
    </w:p>
    <w:p w14:paraId="7E3FD565" w14:textId="77777777" w:rsidR="007F45ED" w:rsidRDefault="007F45ED" w:rsidP="00433BDE">
      <w:pPr>
        <w:jc w:val="both"/>
        <w:rPr>
          <w:u w:val="single"/>
        </w:rPr>
      </w:pPr>
      <w:r>
        <w:rPr>
          <w:u w:val="single"/>
        </w:rPr>
        <w:t>Ettevõtja ambitsiooni väljaselgitamine.</w:t>
      </w:r>
    </w:p>
    <w:p w14:paraId="71EA70B6" w14:textId="0CEB074C" w:rsidR="007F45ED" w:rsidRDefault="007F45ED" w:rsidP="00433BDE">
      <w:pPr>
        <w:jc w:val="both"/>
      </w:pPr>
      <w:r w:rsidRPr="007F45ED">
        <w:t>Ettevõtluse Arendamise Sihtasutus</w:t>
      </w:r>
      <w:r>
        <w:t xml:space="preserve">e </w:t>
      </w:r>
      <w:r w:rsidR="00091889">
        <w:t>kliendihal</w:t>
      </w:r>
      <w:r w:rsidR="00967F0C">
        <w:t>d</w:t>
      </w:r>
      <w:r w:rsidR="00091889">
        <w:t>usega t</w:t>
      </w:r>
      <w:r w:rsidR="0072445E">
        <w:t xml:space="preserve">egelevad </w:t>
      </w:r>
      <w:r>
        <w:t>töötajad</w:t>
      </w:r>
      <w:r w:rsidR="0072445E">
        <w:t xml:space="preserve"> (edapidi: EASi kliendihaldur)</w:t>
      </w:r>
      <w:r>
        <w:t xml:space="preserve"> kaardistavad ettevõtte hetkeolukorra, hinnates ettevõtte kõiki olulis</w:t>
      </w:r>
      <w:r w:rsidR="00866E37">
        <w:t>i tegevusi (näiteks tooted, tootmis- ja müügiprotstessid ning neid toetav personaliprotsessid)</w:t>
      </w:r>
      <w:r w:rsidR="00324C7A">
        <w:t>,</w:t>
      </w:r>
      <w:r w:rsidR="00866E37">
        <w:t xml:space="preserve"> kasutatades selleks diagnostilist kaardistusmudelit. Sama </w:t>
      </w:r>
      <w:r w:rsidR="00B86D1C">
        <w:t>mudeli alusel</w:t>
      </w:r>
      <w:r w:rsidR="00866E37">
        <w:t xml:space="preserve"> hindavad </w:t>
      </w:r>
      <w:r w:rsidR="00CC2804">
        <w:t xml:space="preserve">ettevõtte seisu ka </w:t>
      </w:r>
      <w:r w:rsidR="00866E37">
        <w:t>ettevõtte võtmetöötajad</w:t>
      </w:r>
      <w:r w:rsidR="0092558E">
        <w:t>. Nimetetatud hinnangute ja ettevõttes läbi viidud intervjuude alusel saadakse teadmine ettevõtte hetkeolukorrast, mida võrreldakse ettevõtja poolt kirj</w:t>
      </w:r>
      <w:r w:rsidR="00CC2804">
        <w:t>eldatud strateegilise eemärgiga</w:t>
      </w:r>
      <w:r w:rsidR="00324C7A">
        <w:t xml:space="preserve"> −</w:t>
      </w:r>
      <w:r w:rsidR="00CC2804">
        <w:t xml:space="preserve"> </w:t>
      </w:r>
      <w:r w:rsidR="00324C7A">
        <w:t>e</w:t>
      </w:r>
      <w:r w:rsidR="00CC2804">
        <w:t>esmärgiga, mida</w:t>
      </w:r>
      <w:r w:rsidR="0092558E">
        <w:t xml:space="preserve"> ettevõtja 3-5 aasta perspektiivis </w:t>
      </w:r>
      <w:r w:rsidR="00CC2804">
        <w:t xml:space="preserve">soovib </w:t>
      </w:r>
      <w:r w:rsidR="0092558E">
        <w:t>saavutad</w:t>
      </w:r>
      <w:r w:rsidR="00CC2804">
        <w:t xml:space="preserve">a. Kui läbiviidud ettevõtte kaardistuse tulemusel selgub, et </w:t>
      </w:r>
      <w:r w:rsidR="003D65BE">
        <w:t xml:space="preserve">ettevõtjal </w:t>
      </w:r>
      <w:r w:rsidR="00CC2804">
        <w:t xml:space="preserve">on </w:t>
      </w:r>
      <w:r w:rsidR="0092558E">
        <w:t xml:space="preserve">olemas </w:t>
      </w:r>
      <w:r w:rsidR="003D65BE">
        <w:t>soov, vajadus ning piisav</w:t>
      </w:r>
      <w:r w:rsidR="00C65079">
        <w:t>ad eeldused oma ettevõttes läbi</w:t>
      </w:r>
      <w:r w:rsidR="003D65BE">
        <w:t>viidavateks muudatusteks, siis liigub ettevõtja aren</w:t>
      </w:r>
      <w:r w:rsidR="00CC2804">
        <w:t>guprogrammi järgmisesse etappi, kus toimub</w:t>
      </w:r>
      <w:r w:rsidR="003D65BE">
        <w:t xml:space="preserve"> arenguplaani ettevalmistamine ja väljatöötamine. Samas kui ettevõtjal on olemas küll piisav ambitsioon, aga tänased eeldused </w:t>
      </w:r>
      <w:r w:rsidR="00CC2804">
        <w:t xml:space="preserve">pole </w:t>
      </w:r>
      <w:r w:rsidR="003D65BE">
        <w:t xml:space="preserve">soovitud muutuseks piisavad, siis püüab </w:t>
      </w:r>
      <w:r w:rsidR="003D65BE" w:rsidRPr="003D65BE">
        <w:t>Ettevõtluse Arendamise Sihtasutus</w:t>
      </w:r>
      <w:r w:rsidR="003D65BE">
        <w:t xml:space="preserve"> leida oma muude toetusmeetmete hulgast sobivaid</w:t>
      </w:r>
      <w:r w:rsidR="00CC2804">
        <w:t xml:space="preserve"> lahendus</w:t>
      </w:r>
      <w:r w:rsidR="00967F0C">
        <w:t>i</w:t>
      </w:r>
      <w:r w:rsidR="003D65BE">
        <w:t>, mille kaasabil puudujäävat osa järele aidata. Ettevõtjal on võimalus peale vajaminevate eelduste loomist uuesti ettevõtte arenguprogrammiga liituda.</w:t>
      </w:r>
    </w:p>
    <w:p w14:paraId="49F2DB0C" w14:textId="77777777" w:rsidR="007F45ED" w:rsidRDefault="007F45ED" w:rsidP="00433BDE">
      <w:pPr>
        <w:jc w:val="both"/>
        <w:rPr>
          <w:noProof/>
        </w:rPr>
      </w:pPr>
    </w:p>
    <w:p w14:paraId="04CA289D" w14:textId="7BB3E1E2" w:rsidR="003D65BE" w:rsidRDefault="003D65BE" w:rsidP="00433BDE">
      <w:pPr>
        <w:jc w:val="both"/>
        <w:rPr>
          <w:noProof/>
          <w:u w:val="single"/>
        </w:rPr>
      </w:pPr>
      <w:r w:rsidRPr="003D65BE">
        <w:rPr>
          <w:noProof/>
          <w:u w:val="single"/>
        </w:rPr>
        <w:t>Arenguplaani ettevalmistamine ja väljatöötami</w:t>
      </w:r>
      <w:r w:rsidR="00967F0C">
        <w:rPr>
          <w:noProof/>
          <w:u w:val="single"/>
        </w:rPr>
        <w:t>n</w:t>
      </w:r>
      <w:r w:rsidRPr="003D65BE">
        <w:rPr>
          <w:noProof/>
          <w:u w:val="single"/>
        </w:rPr>
        <w:t>e.</w:t>
      </w:r>
    </w:p>
    <w:p w14:paraId="5A84CCED" w14:textId="1E87D6EA" w:rsidR="003D65BE" w:rsidRDefault="003D65BE" w:rsidP="00433BDE">
      <w:pPr>
        <w:jc w:val="both"/>
        <w:rPr>
          <w:noProof/>
        </w:rPr>
      </w:pPr>
      <w:r>
        <w:rPr>
          <w:noProof/>
        </w:rPr>
        <w:t>Ettevõt</w:t>
      </w:r>
      <w:r w:rsidR="008D0F1C">
        <w:rPr>
          <w:noProof/>
        </w:rPr>
        <w:t>te arenguprogrammi teises etap</w:t>
      </w:r>
      <w:r>
        <w:rPr>
          <w:noProof/>
        </w:rPr>
        <w:t xml:space="preserve">is </w:t>
      </w:r>
      <w:r w:rsidR="0072445E">
        <w:rPr>
          <w:noProof/>
        </w:rPr>
        <w:t xml:space="preserve">algab ettevõtja poolt soovitud muudatuste tegemiseks vajamineva tervikliku tegevuskava – arenguplaani koostamine. Arenguplaani koostamist toetatakse erinevate koolituste ja nõustamistega. Näiteks on ettevõtjal võimalus kaasata rahvusvahelise kogemusega nõustajaid – </w:t>
      </w:r>
      <w:r w:rsidR="0072445E" w:rsidRPr="00433BDE">
        <w:rPr>
          <w:i/>
          <w:noProof/>
        </w:rPr>
        <w:t>coach</w:t>
      </w:r>
      <w:r w:rsidR="0072445E">
        <w:rPr>
          <w:noProof/>
        </w:rPr>
        <w:t>’e ja men</w:t>
      </w:r>
      <w:r w:rsidR="00967F0C">
        <w:rPr>
          <w:noProof/>
        </w:rPr>
        <w:t>t</w:t>
      </w:r>
      <w:r w:rsidR="0072445E">
        <w:rPr>
          <w:noProof/>
        </w:rPr>
        <w:t>oreid. Lisaks on võimalus tellida valdkondlik</w:t>
      </w:r>
      <w:r w:rsidR="00967F0C">
        <w:rPr>
          <w:noProof/>
        </w:rPr>
        <w:t>k</w:t>
      </w:r>
      <w:r w:rsidR="0072445E">
        <w:rPr>
          <w:noProof/>
        </w:rPr>
        <w:t>e diagnostikaid, sealhulgas tootmiskoralduse diagnostika, tooteportfelli diagnostika, kindla toote tehnoloogiline diagnostika. EASi kliendihaldur aitab ettevõtja</w:t>
      </w:r>
      <w:r w:rsidR="001B3376">
        <w:rPr>
          <w:noProof/>
        </w:rPr>
        <w:t>t</w:t>
      </w:r>
      <w:r w:rsidR="0072445E">
        <w:rPr>
          <w:noProof/>
        </w:rPr>
        <w:t xml:space="preserve"> </w:t>
      </w:r>
      <w:r w:rsidR="001A7C36">
        <w:rPr>
          <w:noProof/>
        </w:rPr>
        <w:t>arenguplaani koostamisel leida talle sobiv tööriistakast</w:t>
      </w:r>
      <w:r w:rsidR="006A506F">
        <w:rPr>
          <w:noProof/>
        </w:rPr>
        <w:t>, sealhulgas tutvustab</w:t>
      </w:r>
      <w:r w:rsidR="000804E3">
        <w:rPr>
          <w:noProof/>
        </w:rPr>
        <w:t xml:space="preserve"> </w:t>
      </w:r>
      <w:r w:rsidR="00C65079">
        <w:rPr>
          <w:noProof/>
        </w:rPr>
        <w:t>erinevaid</w:t>
      </w:r>
      <w:r w:rsidR="006A506F">
        <w:rPr>
          <w:noProof/>
        </w:rPr>
        <w:t xml:space="preserve"> kliendi vajadustele vastavaid riiklike toetusmeetmeid</w:t>
      </w:r>
      <w:r w:rsidR="00C65079">
        <w:rPr>
          <w:noProof/>
        </w:rPr>
        <w:t xml:space="preserve"> ja -instrumente</w:t>
      </w:r>
      <w:r w:rsidR="001A7C36">
        <w:rPr>
          <w:noProof/>
        </w:rPr>
        <w:t>. Tei</w:t>
      </w:r>
      <w:r w:rsidR="00134AC7">
        <w:rPr>
          <w:noProof/>
        </w:rPr>
        <w:t>se eta</w:t>
      </w:r>
      <w:r w:rsidR="001B3376">
        <w:rPr>
          <w:noProof/>
        </w:rPr>
        <w:t>pi lõpuks valmib ettevõtja poolt koostatud pikaajaline strateegiline arenguplaan.</w:t>
      </w:r>
      <w:r w:rsidR="001B3376" w:rsidRPr="001B3376">
        <w:t xml:space="preserve"> </w:t>
      </w:r>
      <w:r w:rsidR="001B3376" w:rsidRPr="001B3376">
        <w:rPr>
          <w:noProof/>
        </w:rPr>
        <w:t xml:space="preserve">Oma olemuselt on arenguplaan ettevõtja muudatuste </w:t>
      </w:r>
      <w:r w:rsidR="008D0F1C">
        <w:rPr>
          <w:noProof/>
        </w:rPr>
        <w:t>tegemise tegevuskava, kus on ära toodud</w:t>
      </w:r>
      <w:r w:rsidR="001B3376" w:rsidRPr="001B3376">
        <w:rPr>
          <w:noProof/>
        </w:rPr>
        <w:t xml:space="preserve"> ettevõtja suur ehk strateegiline eesmärk, üksiktegevuste lühikirjeldus koos oodatavate tulemustega, tegevuste rahaline vajadus ja rahastamisallikas,</w:t>
      </w:r>
      <w:r w:rsidR="008D0F1C">
        <w:rPr>
          <w:noProof/>
        </w:rPr>
        <w:t xml:space="preserve"> tähtaeg ning  üksiktegevuste s</w:t>
      </w:r>
      <w:r w:rsidR="001B3376" w:rsidRPr="001B3376">
        <w:rPr>
          <w:noProof/>
        </w:rPr>
        <w:t>e</w:t>
      </w:r>
      <w:r w:rsidR="008D0F1C">
        <w:rPr>
          <w:noProof/>
        </w:rPr>
        <w:t>o</w:t>
      </w:r>
      <w:r w:rsidR="001B3376" w:rsidRPr="001B3376">
        <w:rPr>
          <w:noProof/>
        </w:rPr>
        <w:t>s teiste arenguplaani tegevustega.</w:t>
      </w:r>
    </w:p>
    <w:p w14:paraId="33B67B49" w14:textId="77777777" w:rsidR="001B3376" w:rsidRDefault="001B3376" w:rsidP="00433BDE">
      <w:pPr>
        <w:jc w:val="both"/>
        <w:rPr>
          <w:noProof/>
        </w:rPr>
      </w:pPr>
    </w:p>
    <w:p w14:paraId="7AA47B87" w14:textId="77777777" w:rsidR="001B3376" w:rsidRDefault="001B3376" w:rsidP="00433BDE">
      <w:pPr>
        <w:jc w:val="both"/>
        <w:rPr>
          <w:noProof/>
          <w:u w:val="single"/>
        </w:rPr>
      </w:pPr>
      <w:r>
        <w:rPr>
          <w:noProof/>
          <w:u w:val="single"/>
        </w:rPr>
        <w:t>Arenguplaani elluviimine.</w:t>
      </w:r>
    </w:p>
    <w:p w14:paraId="1323EC59" w14:textId="02FCE876" w:rsidR="001B3376" w:rsidRDefault="001B3376" w:rsidP="00433BDE">
      <w:pPr>
        <w:jc w:val="both"/>
        <w:rPr>
          <w:noProof/>
        </w:rPr>
      </w:pPr>
      <w:r w:rsidRPr="001B3376">
        <w:rPr>
          <w:noProof/>
        </w:rPr>
        <w:t>E</w:t>
      </w:r>
      <w:r>
        <w:rPr>
          <w:noProof/>
        </w:rPr>
        <w:t>ASi kliendihaldur</w:t>
      </w:r>
      <w:r w:rsidRPr="001B3376">
        <w:rPr>
          <w:noProof/>
        </w:rPr>
        <w:t xml:space="preserve"> jälgib ja toetab ettev</w:t>
      </w:r>
      <w:r w:rsidR="008D0F1C">
        <w:rPr>
          <w:noProof/>
        </w:rPr>
        <w:t>õtja arenguplaani elluviimist, näiteks n</w:t>
      </w:r>
      <w:r w:rsidRPr="001B3376">
        <w:rPr>
          <w:noProof/>
        </w:rPr>
        <w:t xml:space="preserve">õustades jooksvates küsimustes. Eelnevalt kokkulepitud tähtaegadel (nt </w:t>
      </w:r>
      <w:r w:rsidR="008D0F1C">
        <w:rPr>
          <w:noProof/>
        </w:rPr>
        <w:t xml:space="preserve">kord </w:t>
      </w:r>
      <w:r w:rsidRPr="001B3376">
        <w:rPr>
          <w:noProof/>
        </w:rPr>
        <w:t>aastas) hinnatakse koos ettevõtjaga arenguplaani elluviimise edukust, vajadusel kasutades selleks valdkondlik</w:t>
      </w:r>
      <w:r w:rsidR="00967F0C">
        <w:rPr>
          <w:noProof/>
        </w:rPr>
        <w:t>k</w:t>
      </w:r>
      <w:r w:rsidRPr="001B3376">
        <w:rPr>
          <w:noProof/>
        </w:rPr>
        <w:t>u diagnostikat. Vajadusel arenguplaani muudetakse.</w:t>
      </w:r>
    </w:p>
    <w:p w14:paraId="642EC103" w14:textId="77777777" w:rsidR="001270F6" w:rsidRDefault="001270F6" w:rsidP="00433BDE">
      <w:pPr>
        <w:jc w:val="both"/>
        <w:rPr>
          <w:noProof/>
        </w:rPr>
      </w:pPr>
    </w:p>
    <w:p w14:paraId="70AF7025" w14:textId="77777777" w:rsidR="001B3376" w:rsidRDefault="001B3376" w:rsidP="00433BDE">
      <w:pPr>
        <w:jc w:val="both"/>
        <w:rPr>
          <w:noProof/>
        </w:rPr>
      </w:pPr>
      <w:r>
        <w:rPr>
          <w:noProof/>
        </w:rPr>
        <w:t>Arenguplaani tegevuste läbiviimiseks saab ettevõtja kasutada:</w:t>
      </w:r>
    </w:p>
    <w:p w14:paraId="156E3667" w14:textId="79A16AEA" w:rsidR="001B3376" w:rsidRPr="001B3376" w:rsidRDefault="00C22E6A" w:rsidP="00433BDE">
      <w:pPr>
        <w:pStyle w:val="ListParagraph"/>
        <w:numPr>
          <w:ilvl w:val="0"/>
          <w:numId w:val="29"/>
        </w:numPr>
        <w:spacing w:line="240" w:lineRule="auto"/>
        <w:jc w:val="both"/>
        <w:rPr>
          <w:rFonts w:ascii="Times New Roman" w:hAnsi="Times New Roman"/>
          <w:noProof/>
          <w:sz w:val="24"/>
          <w:szCs w:val="24"/>
        </w:rPr>
      </w:pPr>
      <w:r>
        <w:rPr>
          <w:rFonts w:ascii="Times New Roman" w:hAnsi="Times New Roman"/>
          <w:b/>
          <w:noProof/>
          <w:sz w:val="24"/>
          <w:szCs w:val="24"/>
          <w:u w:val="single"/>
        </w:rPr>
        <w:t>Ettevõt</w:t>
      </w:r>
      <w:r w:rsidR="001B3376" w:rsidRPr="001B3376">
        <w:rPr>
          <w:rFonts w:ascii="Times New Roman" w:hAnsi="Times New Roman"/>
          <w:b/>
          <w:noProof/>
          <w:sz w:val="24"/>
          <w:szCs w:val="24"/>
          <w:u w:val="single"/>
        </w:rPr>
        <w:t>te arenguprogrammi toetusmeedet</w:t>
      </w:r>
      <w:r w:rsidR="001B3376" w:rsidRPr="001B3376">
        <w:rPr>
          <w:rFonts w:ascii="Times New Roman" w:hAnsi="Times New Roman"/>
          <w:noProof/>
          <w:sz w:val="24"/>
          <w:szCs w:val="24"/>
        </w:rPr>
        <w:t>,</w:t>
      </w:r>
    </w:p>
    <w:p w14:paraId="4029C3BE" w14:textId="77777777" w:rsidR="001B3376" w:rsidRPr="001B3376" w:rsidRDefault="001B3376" w:rsidP="00433BDE">
      <w:pPr>
        <w:pStyle w:val="ListParagraph"/>
        <w:numPr>
          <w:ilvl w:val="0"/>
          <w:numId w:val="29"/>
        </w:numPr>
        <w:spacing w:line="240" w:lineRule="auto"/>
        <w:jc w:val="both"/>
        <w:rPr>
          <w:rFonts w:ascii="Times New Roman" w:hAnsi="Times New Roman"/>
          <w:noProof/>
          <w:sz w:val="24"/>
          <w:szCs w:val="24"/>
        </w:rPr>
      </w:pPr>
      <w:r w:rsidRPr="001B3376">
        <w:rPr>
          <w:rFonts w:ascii="Times New Roman" w:hAnsi="Times New Roman"/>
          <w:noProof/>
          <w:sz w:val="24"/>
          <w:szCs w:val="24"/>
        </w:rPr>
        <w:t>Ettevõtluse Arendamise Sihtasutuse teenuseid,</w:t>
      </w:r>
    </w:p>
    <w:p w14:paraId="1D471DF4" w14:textId="2AB85EF2" w:rsidR="001B3376" w:rsidRPr="001B3376" w:rsidRDefault="001B3376" w:rsidP="00433BDE">
      <w:pPr>
        <w:pStyle w:val="ListParagraph"/>
        <w:numPr>
          <w:ilvl w:val="0"/>
          <w:numId w:val="29"/>
        </w:numPr>
        <w:spacing w:line="240" w:lineRule="auto"/>
        <w:jc w:val="both"/>
        <w:rPr>
          <w:rFonts w:ascii="Times New Roman" w:hAnsi="Times New Roman"/>
          <w:noProof/>
          <w:sz w:val="24"/>
          <w:szCs w:val="24"/>
        </w:rPr>
      </w:pPr>
      <w:r w:rsidRPr="001B3376">
        <w:rPr>
          <w:rFonts w:ascii="Times New Roman" w:hAnsi="Times New Roman"/>
          <w:noProof/>
          <w:sz w:val="24"/>
          <w:szCs w:val="24"/>
        </w:rPr>
        <w:t>KredEx, Archimedes</w:t>
      </w:r>
      <w:r w:rsidR="00E30F9A">
        <w:rPr>
          <w:rFonts w:ascii="Times New Roman" w:hAnsi="Times New Roman"/>
          <w:noProof/>
          <w:sz w:val="24"/>
          <w:szCs w:val="24"/>
        </w:rPr>
        <w:t>, KiK</w:t>
      </w:r>
      <w:r w:rsidRPr="001B3376">
        <w:rPr>
          <w:rFonts w:ascii="Times New Roman" w:hAnsi="Times New Roman"/>
          <w:noProof/>
          <w:sz w:val="24"/>
          <w:szCs w:val="24"/>
        </w:rPr>
        <w:t xml:space="preserve"> jt riikl</w:t>
      </w:r>
      <w:r w:rsidR="004F44ED">
        <w:rPr>
          <w:rFonts w:ascii="Times New Roman" w:hAnsi="Times New Roman"/>
          <w:noProof/>
          <w:sz w:val="24"/>
          <w:szCs w:val="24"/>
        </w:rPr>
        <w:t>ike</w:t>
      </w:r>
      <w:r w:rsidRPr="001B3376">
        <w:rPr>
          <w:rFonts w:ascii="Times New Roman" w:hAnsi="Times New Roman"/>
          <w:noProof/>
          <w:sz w:val="24"/>
          <w:szCs w:val="24"/>
        </w:rPr>
        <w:t xml:space="preserve"> toetusskeem</w:t>
      </w:r>
      <w:r w:rsidR="004F44ED">
        <w:rPr>
          <w:rFonts w:ascii="Times New Roman" w:hAnsi="Times New Roman"/>
          <w:noProof/>
          <w:sz w:val="24"/>
          <w:szCs w:val="24"/>
        </w:rPr>
        <w:t>e</w:t>
      </w:r>
      <w:r w:rsidRPr="001B3376">
        <w:rPr>
          <w:rFonts w:ascii="Times New Roman" w:hAnsi="Times New Roman"/>
          <w:noProof/>
          <w:sz w:val="24"/>
          <w:szCs w:val="24"/>
        </w:rPr>
        <w:t>,</w:t>
      </w:r>
    </w:p>
    <w:p w14:paraId="4C54C985" w14:textId="2699404C" w:rsidR="001B3376" w:rsidRPr="001B3376" w:rsidRDefault="001B3376" w:rsidP="00433BDE">
      <w:pPr>
        <w:pStyle w:val="ListParagraph"/>
        <w:numPr>
          <w:ilvl w:val="0"/>
          <w:numId w:val="29"/>
        </w:numPr>
        <w:spacing w:line="240" w:lineRule="auto"/>
        <w:jc w:val="both"/>
        <w:rPr>
          <w:rFonts w:ascii="Times New Roman" w:hAnsi="Times New Roman"/>
          <w:noProof/>
          <w:sz w:val="24"/>
          <w:szCs w:val="24"/>
        </w:rPr>
      </w:pPr>
      <w:r w:rsidRPr="001B3376">
        <w:rPr>
          <w:rFonts w:ascii="Times New Roman" w:hAnsi="Times New Roman"/>
          <w:noProof/>
          <w:sz w:val="24"/>
          <w:szCs w:val="24"/>
        </w:rPr>
        <w:t>omavahend</w:t>
      </w:r>
      <w:r w:rsidR="004F44ED">
        <w:rPr>
          <w:rFonts w:ascii="Times New Roman" w:hAnsi="Times New Roman"/>
          <w:noProof/>
          <w:sz w:val="24"/>
          <w:szCs w:val="24"/>
        </w:rPr>
        <w:t>e</w:t>
      </w:r>
      <w:r w:rsidRPr="001B3376">
        <w:rPr>
          <w:rFonts w:ascii="Times New Roman" w:hAnsi="Times New Roman"/>
          <w:noProof/>
          <w:sz w:val="24"/>
          <w:szCs w:val="24"/>
        </w:rPr>
        <w:t>id,</w:t>
      </w:r>
    </w:p>
    <w:p w14:paraId="6BC3CFC7" w14:textId="77777777" w:rsidR="001B3376" w:rsidRDefault="001B3376" w:rsidP="00433BDE">
      <w:pPr>
        <w:pStyle w:val="ListParagraph"/>
        <w:numPr>
          <w:ilvl w:val="0"/>
          <w:numId w:val="29"/>
        </w:numPr>
        <w:spacing w:line="240" w:lineRule="auto"/>
        <w:jc w:val="both"/>
        <w:rPr>
          <w:rFonts w:ascii="Times New Roman" w:hAnsi="Times New Roman"/>
          <w:noProof/>
          <w:sz w:val="24"/>
          <w:szCs w:val="24"/>
        </w:rPr>
      </w:pPr>
      <w:r w:rsidRPr="001B3376">
        <w:rPr>
          <w:rFonts w:ascii="Times New Roman" w:hAnsi="Times New Roman"/>
          <w:noProof/>
          <w:sz w:val="24"/>
          <w:szCs w:val="24"/>
        </w:rPr>
        <w:t>eraturu rahastamisvõimalusi.</w:t>
      </w:r>
    </w:p>
    <w:p w14:paraId="5206E4AD" w14:textId="77777777" w:rsidR="00D54570" w:rsidRDefault="00D54570" w:rsidP="00D75E47">
      <w:pPr>
        <w:jc w:val="both"/>
        <w:rPr>
          <w:noProof/>
        </w:rPr>
      </w:pPr>
    </w:p>
    <w:p w14:paraId="6D7FA387" w14:textId="77777777" w:rsidR="00D54570" w:rsidRPr="00D54570" w:rsidRDefault="00D54570">
      <w:pPr>
        <w:jc w:val="both"/>
        <w:rPr>
          <w:noProof/>
        </w:rPr>
      </w:pPr>
    </w:p>
    <w:p w14:paraId="54B15459" w14:textId="77777777" w:rsidR="00D54570" w:rsidRDefault="00F21B47" w:rsidP="00433BDE">
      <w:pPr>
        <w:jc w:val="both"/>
        <w:rPr>
          <w:noProof/>
        </w:rPr>
      </w:pPr>
      <w:r>
        <w:rPr>
          <w:noProof/>
          <w:lang w:val="en-US"/>
        </w:rPr>
        <w:drawing>
          <wp:inline distT="0" distB="0" distL="0" distR="0" wp14:anchorId="7C35F05C" wp14:editId="3C52F8BA">
            <wp:extent cx="6285408" cy="3127025"/>
            <wp:effectExtent l="0" t="0" r="1270" b="0"/>
            <wp:docPr id="4" name="Pil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rengupr. skeem 1.png"/>
                    <pic:cNvPicPr/>
                  </pic:nvPicPr>
                  <pic:blipFill>
                    <a:blip r:embed="rId9">
                      <a:extLst>
                        <a:ext uri="{28A0092B-C50C-407E-A947-70E740481C1C}">
                          <a14:useLocalDpi xmlns:a14="http://schemas.microsoft.com/office/drawing/2010/main" val="0"/>
                        </a:ext>
                      </a:extLst>
                    </a:blip>
                    <a:stretch>
                      <a:fillRect/>
                    </a:stretch>
                  </pic:blipFill>
                  <pic:spPr>
                    <a:xfrm>
                      <a:off x="0" y="0"/>
                      <a:ext cx="6307524" cy="3138028"/>
                    </a:xfrm>
                    <a:prstGeom prst="rect">
                      <a:avLst/>
                    </a:prstGeom>
                  </pic:spPr>
                </pic:pic>
              </a:graphicData>
            </a:graphic>
          </wp:inline>
        </w:drawing>
      </w:r>
    </w:p>
    <w:p w14:paraId="31FDC029" w14:textId="77777777" w:rsidR="00D54570" w:rsidRDefault="00D54570" w:rsidP="00433BDE">
      <w:pPr>
        <w:jc w:val="both"/>
        <w:rPr>
          <w:noProof/>
        </w:rPr>
      </w:pPr>
    </w:p>
    <w:p w14:paraId="6EC1B8F6" w14:textId="77777777" w:rsidR="00D54570" w:rsidRDefault="00D54570" w:rsidP="00433BDE">
      <w:pPr>
        <w:jc w:val="both"/>
        <w:rPr>
          <w:noProof/>
        </w:rPr>
      </w:pPr>
    </w:p>
    <w:p w14:paraId="18E1ADEE" w14:textId="2E43DD56" w:rsidR="00807553" w:rsidRPr="002E6552" w:rsidRDefault="003B4B91" w:rsidP="00433BDE">
      <w:pPr>
        <w:jc w:val="both"/>
        <w:rPr>
          <w:noProof/>
        </w:rPr>
      </w:pPr>
      <w:r>
        <w:rPr>
          <w:noProof/>
        </w:rPr>
        <w:t>Meetme eelarve on 73 0</w:t>
      </w:r>
      <w:r w:rsidR="001B71D1" w:rsidRPr="002E6552">
        <w:rPr>
          <w:noProof/>
        </w:rPr>
        <w:t>00 000 eurot. Meedet rahastatakse Euroopa Regionaalarengu Fondi</w:t>
      </w:r>
      <w:r w:rsidR="004F44ED">
        <w:rPr>
          <w:noProof/>
        </w:rPr>
        <w:t>st</w:t>
      </w:r>
      <w:r w:rsidR="001B71D1" w:rsidRPr="002E6552">
        <w:rPr>
          <w:noProof/>
        </w:rPr>
        <w:t>.</w:t>
      </w:r>
    </w:p>
    <w:p w14:paraId="24DA40FB" w14:textId="77777777" w:rsidR="00C5666F" w:rsidRPr="002E6552" w:rsidRDefault="00C5666F" w:rsidP="00433BDE">
      <w:pPr>
        <w:jc w:val="both"/>
        <w:rPr>
          <w:noProof/>
        </w:rPr>
      </w:pPr>
    </w:p>
    <w:p w14:paraId="63FB9587" w14:textId="77777777" w:rsidR="00F10C57" w:rsidRPr="002E6552" w:rsidRDefault="00F10C57" w:rsidP="00433BDE">
      <w:pPr>
        <w:jc w:val="both"/>
        <w:rPr>
          <w:noProof/>
        </w:rPr>
      </w:pPr>
      <w:r w:rsidRPr="002E6552">
        <w:rPr>
          <w:noProof/>
        </w:rPr>
        <w:t xml:space="preserve">Eelnõuga nähakse ette </w:t>
      </w:r>
      <w:r w:rsidRPr="002E6552">
        <w:t xml:space="preserve">toetuse andmise tingimused ja määrusespetsiifilised toetuse andmise menetlusnormid </w:t>
      </w:r>
      <w:r w:rsidRPr="002E6552">
        <w:rPr>
          <w:noProof/>
        </w:rPr>
        <w:t>ning toetuse taotleja ja toetuse saaja kohustused ning rakendus</w:t>
      </w:r>
      <w:r w:rsidR="000E2DFD" w:rsidRPr="002E6552">
        <w:rPr>
          <w:noProof/>
        </w:rPr>
        <w:t>asutuse</w:t>
      </w:r>
      <w:r w:rsidRPr="002E6552">
        <w:rPr>
          <w:noProof/>
        </w:rPr>
        <w:t xml:space="preserve"> ja -</w:t>
      </w:r>
      <w:r w:rsidR="000E2DFD" w:rsidRPr="002E6552">
        <w:rPr>
          <w:noProof/>
        </w:rPr>
        <w:t>üksuse</w:t>
      </w:r>
      <w:r w:rsidRPr="002E6552">
        <w:rPr>
          <w:noProof/>
        </w:rPr>
        <w:t xml:space="preserve"> õigused  ja kohustused. </w:t>
      </w:r>
    </w:p>
    <w:p w14:paraId="45A44CA9" w14:textId="77777777" w:rsidR="008D74A0" w:rsidRDefault="008D74A0" w:rsidP="00433BDE">
      <w:pPr>
        <w:spacing w:after="120"/>
        <w:jc w:val="both"/>
      </w:pPr>
    </w:p>
    <w:p w14:paraId="4B1DC975" w14:textId="77777777" w:rsidR="00F10C57" w:rsidRPr="002E6552" w:rsidRDefault="00BD07CD" w:rsidP="00433BDE">
      <w:pPr>
        <w:spacing w:after="120"/>
        <w:jc w:val="both"/>
        <w:rPr>
          <w:i/>
        </w:rPr>
      </w:pPr>
      <w:r w:rsidRPr="002E6552">
        <w:t>Tegevusi</w:t>
      </w:r>
      <w:r w:rsidR="00F10C57" w:rsidRPr="002E6552">
        <w:t xml:space="preserve"> rahastatakse  avatud taotlusvooruna. Toetuse andmist on k</w:t>
      </w:r>
      <w:r w:rsidR="006F6A8B">
        <w:t>avandatud ellu viia üle-e</w:t>
      </w:r>
      <w:r w:rsidR="00F10C57" w:rsidRPr="002E6552">
        <w:t>estilisena.</w:t>
      </w:r>
    </w:p>
    <w:p w14:paraId="50C67414" w14:textId="5A5DBC81" w:rsidR="00F10C57" w:rsidRPr="002E6552" w:rsidRDefault="007D1DB5" w:rsidP="00433BDE">
      <w:pPr>
        <w:spacing w:before="240" w:after="100" w:afterAutospacing="1"/>
        <w:jc w:val="both"/>
      </w:pPr>
      <w:r>
        <w:t xml:space="preserve">Määruse kehtestamise </w:t>
      </w:r>
      <w:r w:rsidR="00F10C57" w:rsidRPr="002E6552">
        <w:t xml:space="preserve">aluseks </w:t>
      </w:r>
      <w:r>
        <w:t xml:space="preserve">on </w:t>
      </w:r>
      <w:r>
        <w:rPr>
          <w:lang w:eastAsia="et-EE"/>
        </w:rPr>
        <w:t>p</w:t>
      </w:r>
      <w:r w:rsidR="00F10C57" w:rsidRPr="002E6552">
        <w:rPr>
          <w:lang w:eastAsia="et-EE"/>
        </w:rPr>
        <w:t>erioodi 201</w:t>
      </w:r>
      <w:r w:rsidR="001D1CAC">
        <w:rPr>
          <w:lang w:eastAsia="et-EE"/>
        </w:rPr>
        <w:t>4–2020 struktuuritoetuse seadus</w:t>
      </w:r>
      <w:r>
        <w:rPr>
          <w:lang w:eastAsia="et-EE"/>
        </w:rPr>
        <w:t>e</w:t>
      </w:r>
      <w:r>
        <w:t xml:space="preserve"> § 14</w:t>
      </w:r>
      <w:r w:rsidR="00F10C57" w:rsidRPr="002E6552">
        <w:t xml:space="preserve">. </w:t>
      </w:r>
    </w:p>
    <w:p w14:paraId="686016A7" w14:textId="77777777" w:rsidR="00F10C57" w:rsidRPr="002E6552" w:rsidRDefault="00F10C57" w:rsidP="00433BDE">
      <w:pPr>
        <w:pStyle w:val="BodyText"/>
        <w:widowControl w:val="0"/>
        <w:tabs>
          <w:tab w:val="center" w:pos="4938"/>
          <w:tab w:val="right" w:pos="9091"/>
        </w:tabs>
        <w:autoSpaceDE w:val="0"/>
        <w:rPr>
          <w:rFonts w:eastAsia="Arial Unicode MS"/>
        </w:rPr>
      </w:pPr>
      <w:r w:rsidRPr="002E6552">
        <w:rPr>
          <w:rFonts w:eastAsia="Arial Unicode MS"/>
        </w:rPr>
        <w:t>Eelnõu valmistas</w:t>
      </w:r>
      <w:r w:rsidR="000C453E" w:rsidRPr="002E6552">
        <w:rPr>
          <w:rFonts w:eastAsia="Arial Unicode MS"/>
        </w:rPr>
        <w:t>id</w:t>
      </w:r>
      <w:r w:rsidRPr="002E6552">
        <w:rPr>
          <w:rFonts w:eastAsia="Arial Unicode MS"/>
        </w:rPr>
        <w:t xml:space="preserve"> ette Majandus- ja Kommuni</w:t>
      </w:r>
      <w:r w:rsidR="000C453E" w:rsidRPr="002E6552">
        <w:rPr>
          <w:rFonts w:eastAsia="Arial Unicode MS"/>
        </w:rPr>
        <w:t xml:space="preserve">katsiooniministeerium (edaspidi </w:t>
      </w:r>
      <w:r w:rsidR="000C453E" w:rsidRPr="002E6552">
        <w:rPr>
          <w:rFonts w:eastAsia="Arial Unicode MS"/>
          <w:i/>
        </w:rPr>
        <w:t>ministeerium</w:t>
      </w:r>
      <w:r w:rsidRPr="002E6552">
        <w:rPr>
          <w:rFonts w:eastAsia="Arial Unicode MS"/>
        </w:rPr>
        <w:t>)</w:t>
      </w:r>
      <w:r w:rsidR="000C453E" w:rsidRPr="002E6552">
        <w:rPr>
          <w:rFonts w:eastAsia="Arial Unicode MS"/>
        </w:rPr>
        <w:t xml:space="preserve"> ja Et</w:t>
      </w:r>
      <w:r w:rsidR="00B04294">
        <w:rPr>
          <w:rFonts w:eastAsia="Arial Unicode MS"/>
        </w:rPr>
        <w:t>tevõtluse Arendamise Sihtasutus</w:t>
      </w:r>
      <w:r w:rsidR="000C453E" w:rsidRPr="002E6552">
        <w:rPr>
          <w:rFonts w:eastAsia="Arial Unicode MS"/>
        </w:rPr>
        <w:t xml:space="preserve"> (edaspidi </w:t>
      </w:r>
      <w:r w:rsidR="000C453E" w:rsidRPr="002E6552">
        <w:rPr>
          <w:rFonts w:eastAsia="Arial Unicode MS"/>
          <w:i/>
        </w:rPr>
        <w:t>rakendusüksus</w:t>
      </w:r>
      <w:r w:rsidR="000C453E" w:rsidRPr="002E6552">
        <w:rPr>
          <w:rFonts w:eastAsia="Arial Unicode MS"/>
        </w:rPr>
        <w:t>)</w:t>
      </w:r>
      <w:r w:rsidRPr="002E6552">
        <w:rPr>
          <w:rFonts w:eastAsia="Arial Unicode MS"/>
        </w:rPr>
        <w:t>.</w:t>
      </w:r>
    </w:p>
    <w:p w14:paraId="4951FA61" w14:textId="77777777" w:rsidR="00F10C57" w:rsidRPr="002E6552" w:rsidRDefault="00F10C57" w:rsidP="00433BDE">
      <w:pPr>
        <w:pStyle w:val="BodyText"/>
        <w:widowControl w:val="0"/>
        <w:tabs>
          <w:tab w:val="center" w:pos="4938"/>
          <w:tab w:val="right" w:pos="9091"/>
        </w:tabs>
        <w:autoSpaceDE w:val="0"/>
        <w:rPr>
          <w:rFonts w:eastAsia="Arial Unicode MS"/>
        </w:rPr>
      </w:pPr>
    </w:p>
    <w:p w14:paraId="68FF42C9" w14:textId="77777777" w:rsidR="00F10C57" w:rsidRPr="002E6552" w:rsidRDefault="00F10C57" w:rsidP="00433BDE">
      <w:pPr>
        <w:jc w:val="both"/>
        <w:rPr>
          <w:rFonts w:eastAsia="Arial Unicode MS"/>
        </w:rPr>
      </w:pPr>
      <w:r w:rsidRPr="002E6552">
        <w:rPr>
          <w:rFonts w:eastAsia="Arial Unicode MS"/>
        </w:rPr>
        <w:t xml:space="preserve">Eelnõu koostasid </w:t>
      </w:r>
      <w:r w:rsidR="000C453E" w:rsidRPr="002E6552">
        <w:rPr>
          <w:rFonts w:eastAsia="Arial Unicode MS"/>
        </w:rPr>
        <w:t>ministeeriumi majandus</w:t>
      </w:r>
      <w:r w:rsidRPr="002E6552">
        <w:t xml:space="preserve"> arengu osakonna </w:t>
      </w:r>
      <w:r w:rsidR="000C453E" w:rsidRPr="002E6552">
        <w:t>ekspert Kaie Nurmik</w:t>
      </w:r>
      <w:r w:rsidRPr="002E6552">
        <w:t xml:space="preserve"> (e-post: </w:t>
      </w:r>
      <w:hyperlink r:id="rId10" w:history="1">
        <w:r w:rsidR="000C453E" w:rsidRPr="002E6552">
          <w:rPr>
            <w:rStyle w:val="Hyperlink"/>
            <w:snapToGrid/>
          </w:rPr>
          <w:t>kaie.nurmik@mkm.ee</w:t>
        </w:r>
      </w:hyperlink>
      <w:r w:rsidR="000C453E" w:rsidRPr="002E6552">
        <w:t xml:space="preserve">, </w:t>
      </w:r>
      <w:r w:rsidRPr="002E6552">
        <w:t xml:space="preserve">telefon: </w:t>
      </w:r>
      <w:r w:rsidR="000C453E" w:rsidRPr="002E6552">
        <w:t>6 397 651</w:t>
      </w:r>
      <w:r w:rsidRPr="002E6552">
        <w:t xml:space="preserve">) </w:t>
      </w:r>
      <w:r w:rsidR="00A63C0F">
        <w:t xml:space="preserve">rakendusüksuse ettevõtlus- ja ekspordikeskuse </w:t>
      </w:r>
      <w:r w:rsidR="000C453E" w:rsidRPr="002E6552">
        <w:t xml:space="preserve"> </w:t>
      </w:r>
      <w:r w:rsidR="00A63C0F" w:rsidRPr="00A63C0F">
        <w:t xml:space="preserve">toetuse spetsialist </w:t>
      </w:r>
      <w:r w:rsidR="00A63C0F">
        <w:t>Rene Küttim</w:t>
      </w:r>
      <w:r w:rsidR="000C453E" w:rsidRPr="002E6552">
        <w:t xml:space="preserve"> </w:t>
      </w:r>
      <w:r w:rsidRPr="002E6552">
        <w:t xml:space="preserve">(e-post: </w:t>
      </w:r>
      <w:r w:rsidR="00A63C0F" w:rsidRPr="00A63C0F">
        <w:t>Rene.Kyttim@eas.ee</w:t>
      </w:r>
      <w:r w:rsidR="00A63C0F">
        <w:t>,</w:t>
      </w:r>
      <w:r w:rsidR="000C453E" w:rsidRPr="002E6552">
        <w:t xml:space="preserve">  telefon: </w:t>
      </w:r>
      <w:r w:rsidR="00A63C0F" w:rsidRPr="00A63C0F">
        <w:t>6</w:t>
      </w:r>
      <w:r w:rsidR="00A63C0F">
        <w:t> 27</w:t>
      </w:r>
      <w:r w:rsidR="00A63C0F" w:rsidRPr="00A63C0F">
        <w:t>9</w:t>
      </w:r>
      <w:r w:rsidR="00A63C0F">
        <w:t xml:space="preserve"> </w:t>
      </w:r>
      <w:r w:rsidR="00A63C0F" w:rsidRPr="00A63C0F">
        <w:t>348</w:t>
      </w:r>
      <w:r w:rsidRPr="002E6552">
        <w:t xml:space="preserve">). </w:t>
      </w:r>
      <w:r w:rsidRPr="002E6552">
        <w:rPr>
          <w:rFonts w:eastAsia="Arial Unicode MS"/>
        </w:rPr>
        <w:t>Eelnõu jurii</w:t>
      </w:r>
      <w:r w:rsidR="000E2DFD">
        <w:rPr>
          <w:rFonts w:eastAsia="Arial Unicode MS"/>
        </w:rPr>
        <w:t>dilise ekspertiisi teostasid ministeeriumi</w:t>
      </w:r>
      <w:r w:rsidRPr="002E6552">
        <w:rPr>
          <w:rFonts w:eastAsia="Arial Unicode MS"/>
        </w:rPr>
        <w:t xml:space="preserve"> välisvahendite osakonna struktuur</w:t>
      </w:r>
      <w:r w:rsidR="000C453E" w:rsidRPr="002E6552">
        <w:rPr>
          <w:rFonts w:eastAsia="Arial Unicode MS"/>
        </w:rPr>
        <w:t>ifondide ekspert</w:t>
      </w:r>
      <w:r w:rsidRPr="002E6552">
        <w:rPr>
          <w:rFonts w:eastAsia="Arial Unicode MS"/>
        </w:rPr>
        <w:t xml:space="preserve"> </w:t>
      </w:r>
      <w:r w:rsidR="000C453E" w:rsidRPr="002E6552">
        <w:rPr>
          <w:rFonts w:eastAsia="Arial Unicode MS"/>
        </w:rPr>
        <w:t>Gerly Lootus</w:t>
      </w:r>
      <w:r w:rsidRPr="002E6552">
        <w:rPr>
          <w:rFonts w:eastAsia="Arial Unicode MS"/>
          <w:b/>
          <w:bCs/>
        </w:rPr>
        <w:t xml:space="preserve"> </w:t>
      </w:r>
      <w:r w:rsidRPr="002E6552">
        <w:rPr>
          <w:rFonts w:eastAsia="Arial Unicode MS"/>
          <w:bCs/>
        </w:rPr>
        <w:t xml:space="preserve">(e-post: </w:t>
      </w:r>
      <w:hyperlink r:id="rId11" w:history="1">
        <w:r w:rsidR="000C453E" w:rsidRPr="002E6552">
          <w:rPr>
            <w:rStyle w:val="Hyperlink"/>
            <w:rFonts w:eastAsia="Arial Unicode MS"/>
            <w:bCs/>
            <w:snapToGrid/>
          </w:rPr>
          <w:t>gerly.lootus@mkm.ee</w:t>
        </w:r>
      </w:hyperlink>
      <w:r w:rsidR="000C453E" w:rsidRPr="002E6552">
        <w:rPr>
          <w:rFonts w:eastAsia="Arial Unicode MS"/>
          <w:bCs/>
        </w:rPr>
        <w:t xml:space="preserve">, </w:t>
      </w:r>
      <w:r w:rsidR="00294068" w:rsidRPr="002E6552">
        <w:rPr>
          <w:rFonts w:eastAsia="Arial Unicode MS"/>
          <w:bCs/>
        </w:rPr>
        <w:t xml:space="preserve">telefon: </w:t>
      </w:r>
      <w:r w:rsidR="000C453E" w:rsidRPr="002E6552">
        <w:rPr>
          <w:rFonts w:eastAsia="Arial Unicode MS"/>
          <w:bCs/>
        </w:rPr>
        <w:t>6 256 467</w:t>
      </w:r>
      <w:r w:rsidR="00294068" w:rsidRPr="002E6552">
        <w:rPr>
          <w:rFonts w:eastAsia="Arial Unicode MS"/>
          <w:bCs/>
        </w:rPr>
        <w:t xml:space="preserve">)  </w:t>
      </w:r>
      <w:r w:rsidRPr="002E6552">
        <w:rPr>
          <w:rFonts w:eastAsia="Arial Unicode MS"/>
          <w:bCs/>
        </w:rPr>
        <w:t xml:space="preserve">ning </w:t>
      </w:r>
      <w:r w:rsidRPr="002E6552">
        <w:rPr>
          <w:rFonts w:eastAsia="Arial Unicode MS"/>
        </w:rPr>
        <w:t xml:space="preserve"> </w:t>
      </w:r>
      <w:r w:rsidR="00294068" w:rsidRPr="002E6552">
        <w:rPr>
          <w:rFonts w:eastAsia="Arial Unicode MS"/>
        </w:rPr>
        <w:t xml:space="preserve">ministeeriumi </w:t>
      </w:r>
      <w:r w:rsidRPr="002E6552">
        <w:rPr>
          <w:rFonts w:eastAsia="Arial Unicode MS"/>
        </w:rPr>
        <w:t>õigusosakonna</w:t>
      </w:r>
      <w:r w:rsidR="008F7FA2">
        <w:rPr>
          <w:rFonts w:eastAsia="Arial Unicode MS"/>
        </w:rPr>
        <w:t xml:space="preserve"> </w:t>
      </w:r>
      <w:r w:rsidR="00A63C0F">
        <w:rPr>
          <w:rFonts w:eastAsia="Arial Unicode MS"/>
        </w:rPr>
        <w:t>õigusekspert</w:t>
      </w:r>
      <w:r w:rsidR="008F7FA2">
        <w:rPr>
          <w:rFonts w:eastAsia="Arial Unicode MS"/>
        </w:rPr>
        <w:t xml:space="preserve"> Katrin Andre (e-post: </w:t>
      </w:r>
      <w:hyperlink r:id="rId12" w:history="1">
        <w:r w:rsidR="008F7FA2" w:rsidRPr="00F71B3C">
          <w:rPr>
            <w:rStyle w:val="Hyperlink"/>
            <w:rFonts w:eastAsia="Arial Unicode MS"/>
            <w:snapToGrid/>
          </w:rPr>
          <w:t>katrin.andre@mkm.ee</w:t>
        </w:r>
      </w:hyperlink>
      <w:r w:rsidR="008F7FA2">
        <w:rPr>
          <w:rFonts w:eastAsia="Arial Unicode MS"/>
        </w:rPr>
        <w:t xml:space="preserve">, telefon </w:t>
      </w:r>
      <w:r w:rsidR="008F7FA2" w:rsidRPr="008F7FA2">
        <w:rPr>
          <w:rFonts w:eastAsia="Arial Unicode MS"/>
        </w:rPr>
        <w:t>6</w:t>
      </w:r>
      <w:r w:rsidR="008F7FA2">
        <w:rPr>
          <w:rFonts w:eastAsia="Arial Unicode MS"/>
        </w:rPr>
        <w:t> </w:t>
      </w:r>
      <w:r w:rsidR="008F7FA2" w:rsidRPr="008F7FA2">
        <w:rPr>
          <w:rFonts w:eastAsia="Arial Unicode MS"/>
        </w:rPr>
        <w:t>397</w:t>
      </w:r>
      <w:r w:rsidR="008F7FA2">
        <w:rPr>
          <w:rFonts w:eastAsia="Arial Unicode MS"/>
        </w:rPr>
        <w:t xml:space="preserve"> </w:t>
      </w:r>
      <w:r w:rsidR="008F7FA2" w:rsidRPr="008F7FA2">
        <w:rPr>
          <w:rFonts w:eastAsia="Arial Unicode MS"/>
        </w:rPr>
        <w:t>641</w:t>
      </w:r>
      <w:r w:rsidRPr="002E6552">
        <w:rPr>
          <w:rFonts w:eastAsia="Arial Unicode MS"/>
        </w:rPr>
        <w:t xml:space="preserve"> </w:t>
      </w:r>
      <w:r w:rsidR="00294068" w:rsidRPr="002E6552">
        <w:rPr>
          <w:rFonts w:eastAsia="Arial Unicode MS"/>
        </w:rPr>
        <w:t xml:space="preserve">ning rakendusüksuse õigus- ja hankeüksuse jurist Terje Kleemann (e-post: </w:t>
      </w:r>
      <w:hyperlink r:id="rId13" w:history="1">
        <w:r w:rsidR="00294068" w:rsidRPr="002E6552">
          <w:rPr>
            <w:rStyle w:val="Hyperlink"/>
            <w:rFonts w:eastAsia="Arial Unicode MS"/>
            <w:snapToGrid/>
          </w:rPr>
          <w:t>terje.kleemann@eas.ee</w:t>
        </w:r>
      </w:hyperlink>
      <w:r w:rsidR="00294068" w:rsidRPr="002E6552">
        <w:rPr>
          <w:rFonts w:eastAsia="Arial Unicode MS"/>
        </w:rPr>
        <w:t>, telefon: 6 279 340)</w:t>
      </w:r>
    </w:p>
    <w:p w14:paraId="23B21A46" w14:textId="77777777" w:rsidR="00294068" w:rsidRPr="002E6552" w:rsidRDefault="00294068" w:rsidP="00433BDE">
      <w:pPr>
        <w:jc w:val="both"/>
        <w:rPr>
          <w:rFonts w:eastAsia="Arial Unicode MS"/>
        </w:rPr>
      </w:pPr>
    </w:p>
    <w:p w14:paraId="02A6AF93" w14:textId="77777777" w:rsidR="00294068" w:rsidRPr="002E6552" w:rsidRDefault="00294068" w:rsidP="00433BDE">
      <w:pPr>
        <w:jc w:val="both"/>
        <w:rPr>
          <w:rFonts w:eastAsia="Arial Unicode MS"/>
        </w:rPr>
      </w:pPr>
      <w:r w:rsidRPr="002E6552">
        <w:rPr>
          <w:rFonts w:eastAsia="Arial Unicode MS"/>
        </w:rPr>
        <w:t>Seletuskirja koostas ministeeriumi majandus arengu osakonna ekspert Kaie Nurmik (e-post: kaie.nurmik@mkm.ee, telefon: 6 397 651).</w:t>
      </w:r>
    </w:p>
    <w:p w14:paraId="4FAA3A19" w14:textId="77777777" w:rsidR="00F10C57" w:rsidRPr="002E6552" w:rsidRDefault="00F10C57" w:rsidP="00433BDE">
      <w:pPr>
        <w:jc w:val="both"/>
        <w:rPr>
          <w:lang w:eastAsia="et-EE"/>
        </w:rPr>
      </w:pPr>
    </w:p>
    <w:p w14:paraId="5083A48E" w14:textId="77777777" w:rsidR="00F10C57" w:rsidRPr="002E6552" w:rsidRDefault="00F10C57" w:rsidP="00433BDE">
      <w:pPr>
        <w:widowControl w:val="0"/>
        <w:tabs>
          <w:tab w:val="center" w:pos="8051"/>
          <w:tab w:val="right" w:pos="12204"/>
        </w:tabs>
        <w:autoSpaceDE w:val="0"/>
        <w:jc w:val="both"/>
        <w:rPr>
          <w:b/>
          <w:bCs/>
        </w:rPr>
      </w:pPr>
      <w:bookmarkStart w:id="1" w:name="lg145"/>
      <w:bookmarkEnd w:id="1"/>
    </w:p>
    <w:p w14:paraId="654CB366" w14:textId="77777777" w:rsidR="00F10C57" w:rsidRPr="002E6552" w:rsidRDefault="00F10C57" w:rsidP="00433BDE">
      <w:pPr>
        <w:widowControl w:val="0"/>
        <w:tabs>
          <w:tab w:val="center" w:pos="8051"/>
          <w:tab w:val="right" w:pos="12204"/>
        </w:tabs>
        <w:autoSpaceDE w:val="0"/>
        <w:jc w:val="both"/>
        <w:rPr>
          <w:b/>
          <w:bCs/>
        </w:rPr>
      </w:pPr>
      <w:r w:rsidRPr="002E6552">
        <w:rPr>
          <w:b/>
          <w:bCs/>
        </w:rPr>
        <w:lastRenderedPageBreak/>
        <w:t>2. Eelnõu sisu ja võrdlev analüüs</w:t>
      </w:r>
    </w:p>
    <w:p w14:paraId="4A8B4BC3" w14:textId="77777777" w:rsidR="00F10C57" w:rsidRPr="002E6552" w:rsidRDefault="00F10C57" w:rsidP="00433BDE">
      <w:pPr>
        <w:jc w:val="both"/>
      </w:pPr>
      <w:r w:rsidRPr="002E6552">
        <w:t>Eelnõ</w:t>
      </w:r>
      <w:r w:rsidR="008C1972" w:rsidRPr="002E6552">
        <w:t>u koosneb kuuest</w:t>
      </w:r>
      <w:r w:rsidR="00E55887">
        <w:t xml:space="preserve"> peatükist ja</w:t>
      </w:r>
      <w:r w:rsidR="00DB4380">
        <w:t xml:space="preserve"> 2</w:t>
      </w:r>
      <w:r w:rsidR="00E55887">
        <w:t>7</w:t>
      </w:r>
      <w:r w:rsidRPr="002E6552">
        <w:t xml:space="preserve"> paragrahvist. Peatükid jagunevad järgmiselt:</w:t>
      </w:r>
    </w:p>
    <w:p w14:paraId="5CE64D68" w14:textId="77777777" w:rsidR="00F10C57" w:rsidRPr="002E6552" w:rsidRDefault="00F10C57" w:rsidP="00433BDE">
      <w:pPr>
        <w:pStyle w:val="NoSpacing"/>
        <w:numPr>
          <w:ilvl w:val="0"/>
          <w:numId w:val="6"/>
        </w:numPr>
        <w:jc w:val="both"/>
        <w:rPr>
          <w:rFonts w:ascii="Times New Roman" w:hAnsi="Times New Roman"/>
          <w:sz w:val="24"/>
          <w:szCs w:val="24"/>
        </w:rPr>
      </w:pPr>
      <w:r w:rsidRPr="002E6552">
        <w:rPr>
          <w:rFonts w:ascii="Times New Roman" w:hAnsi="Times New Roman"/>
          <w:sz w:val="24"/>
          <w:szCs w:val="24"/>
        </w:rPr>
        <w:t>üldsätted;</w:t>
      </w:r>
    </w:p>
    <w:p w14:paraId="0A347942" w14:textId="77777777" w:rsidR="00630044" w:rsidRPr="002E6552" w:rsidRDefault="00630044" w:rsidP="00433BDE">
      <w:pPr>
        <w:pStyle w:val="NoSpacing"/>
        <w:numPr>
          <w:ilvl w:val="0"/>
          <w:numId w:val="6"/>
        </w:numPr>
        <w:jc w:val="both"/>
        <w:rPr>
          <w:rFonts w:ascii="Times New Roman" w:hAnsi="Times New Roman"/>
          <w:sz w:val="24"/>
          <w:szCs w:val="24"/>
        </w:rPr>
      </w:pPr>
      <w:r w:rsidRPr="002E6552">
        <w:rPr>
          <w:rFonts w:ascii="Times New Roman" w:hAnsi="Times New Roman"/>
          <w:sz w:val="24"/>
          <w:szCs w:val="24"/>
        </w:rPr>
        <w:t>toetatavad tegevused, kulude abikõlblikkus ja toetuse määr</w:t>
      </w:r>
    </w:p>
    <w:p w14:paraId="1A1C90BA" w14:textId="77777777" w:rsidR="00F10C57" w:rsidRPr="002E6552" w:rsidRDefault="00F10C57" w:rsidP="00433BDE">
      <w:pPr>
        <w:pStyle w:val="NoSpacing"/>
        <w:numPr>
          <w:ilvl w:val="0"/>
          <w:numId w:val="6"/>
        </w:numPr>
        <w:jc w:val="both"/>
        <w:rPr>
          <w:rFonts w:ascii="Times New Roman" w:hAnsi="Times New Roman"/>
          <w:sz w:val="24"/>
          <w:szCs w:val="24"/>
        </w:rPr>
      </w:pPr>
      <w:r w:rsidRPr="002E6552">
        <w:rPr>
          <w:rFonts w:ascii="Times New Roman" w:hAnsi="Times New Roman"/>
          <w:sz w:val="24"/>
          <w:szCs w:val="24"/>
        </w:rPr>
        <w:t xml:space="preserve">toetuse taotlemine ning nõuded taotlejale </w:t>
      </w:r>
      <w:r w:rsidR="0021699C">
        <w:rPr>
          <w:rFonts w:ascii="Times New Roman" w:hAnsi="Times New Roman"/>
          <w:sz w:val="24"/>
          <w:szCs w:val="24"/>
        </w:rPr>
        <w:t>ja taotlusele</w:t>
      </w:r>
      <w:r w:rsidRPr="002E6552">
        <w:rPr>
          <w:rFonts w:ascii="Times New Roman" w:hAnsi="Times New Roman"/>
          <w:sz w:val="24"/>
          <w:szCs w:val="24"/>
        </w:rPr>
        <w:t xml:space="preserve">; </w:t>
      </w:r>
    </w:p>
    <w:p w14:paraId="54E8E871" w14:textId="77777777" w:rsidR="00F10C57" w:rsidRPr="002E6552" w:rsidRDefault="00F10C57" w:rsidP="00433BDE">
      <w:pPr>
        <w:pStyle w:val="NoSpacing"/>
        <w:numPr>
          <w:ilvl w:val="0"/>
          <w:numId w:val="6"/>
        </w:numPr>
        <w:jc w:val="both"/>
        <w:rPr>
          <w:rFonts w:ascii="Times New Roman" w:hAnsi="Times New Roman"/>
          <w:sz w:val="24"/>
          <w:szCs w:val="24"/>
        </w:rPr>
      </w:pPr>
      <w:r w:rsidRPr="002E6552">
        <w:rPr>
          <w:rFonts w:ascii="Times New Roman" w:hAnsi="Times New Roman"/>
          <w:sz w:val="24"/>
          <w:szCs w:val="24"/>
        </w:rPr>
        <w:t>taotluse menetlemine;</w:t>
      </w:r>
    </w:p>
    <w:p w14:paraId="062A0BB9" w14:textId="77777777" w:rsidR="00F10C57" w:rsidRPr="002E6552" w:rsidRDefault="00F10C57" w:rsidP="00433BDE">
      <w:pPr>
        <w:pStyle w:val="NoSpacing"/>
        <w:numPr>
          <w:ilvl w:val="0"/>
          <w:numId w:val="6"/>
        </w:numPr>
        <w:tabs>
          <w:tab w:val="num" w:pos="1440"/>
        </w:tabs>
        <w:jc w:val="both"/>
        <w:rPr>
          <w:rFonts w:ascii="Times New Roman" w:hAnsi="Times New Roman"/>
          <w:sz w:val="24"/>
          <w:szCs w:val="24"/>
          <w:u w:val="single"/>
        </w:rPr>
      </w:pPr>
      <w:r w:rsidRPr="002E6552">
        <w:rPr>
          <w:rFonts w:ascii="Times New Roman" w:hAnsi="Times New Roman"/>
          <w:sz w:val="24"/>
          <w:szCs w:val="24"/>
        </w:rPr>
        <w:t>aruannete esitamine</w:t>
      </w:r>
      <w:r w:rsidR="00DB4380">
        <w:rPr>
          <w:rFonts w:ascii="Times New Roman" w:hAnsi="Times New Roman"/>
          <w:sz w:val="24"/>
          <w:szCs w:val="24"/>
        </w:rPr>
        <w:t xml:space="preserve"> ja</w:t>
      </w:r>
      <w:r w:rsidRPr="002E6552">
        <w:rPr>
          <w:rFonts w:ascii="Times New Roman" w:hAnsi="Times New Roman"/>
          <w:sz w:val="24"/>
          <w:szCs w:val="24"/>
        </w:rPr>
        <w:t xml:space="preserve"> toetuse maksmise tingimused;</w:t>
      </w:r>
    </w:p>
    <w:p w14:paraId="1610756D" w14:textId="77777777" w:rsidR="00F10C57" w:rsidRPr="002E6552" w:rsidRDefault="00F10C57" w:rsidP="00433BDE">
      <w:pPr>
        <w:pStyle w:val="NoSpacing"/>
        <w:numPr>
          <w:ilvl w:val="0"/>
          <w:numId w:val="6"/>
        </w:numPr>
        <w:tabs>
          <w:tab w:val="num" w:pos="1440"/>
        </w:tabs>
        <w:jc w:val="both"/>
        <w:rPr>
          <w:rFonts w:ascii="Times New Roman" w:hAnsi="Times New Roman"/>
          <w:sz w:val="24"/>
          <w:szCs w:val="24"/>
          <w:u w:val="single"/>
        </w:rPr>
      </w:pPr>
      <w:r w:rsidRPr="002E6552">
        <w:rPr>
          <w:rFonts w:ascii="Times New Roman" w:hAnsi="Times New Roman"/>
          <w:sz w:val="24"/>
          <w:szCs w:val="24"/>
        </w:rPr>
        <w:t>toetuse saaja ning rakendusüksuse õigused ning kohustused.</w:t>
      </w:r>
    </w:p>
    <w:p w14:paraId="10759970" w14:textId="77777777" w:rsidR="00F10C57" w:rsidRPr="002E6552" w:rsidRDefault="00F10C57" w:rsidP="00433BDE">
      <w:pPr>
        <w:pStyle w:val="NoSpacing"/>
        <w:tabs>
          <w:tab w:val="num" w:pos="1440"/>
        </w:tabs>
        <w:ind w:left="720"/>
        <w:jc w:val="both"/>
        <w:rPr>
          <w:rFonts w:ascii="Times New Roman" w:hAnsi="Times New Roman"/>
          <w:sz w:val="24"/>
          <w:szCs w:val="24"/>
          <w:u w:val="single"/>
        </w:rPr>
      </w:pPr>
    </w:p>
    <w:p w14:paraId="0A8C1211" w14:textId="77777777" w:rsidR="00A95C63" w:rsidRDefault="00F10C57" w:rsidP="00433BDE">
      <w:pPr>
        <w:widowControl w:val="0"/>
        <w:tabs>
          <w:tab w:val="center" w:pos="4938"/>
          <w:tab w:val="right" w:pos="9091"/>
        </w:tabs>
        <w:autoSpaceDE w:val="0"/>
        <w:jc w:val="both"/>
        <w:rPr>
          <w:rFonts w:eastAsia="Arial Unicode MS"/>
          <w:b/>
        </w:rPr>
      </w:pPr>
      <w:r w:rsidRPr="002E6552">
        <w:rPr>
          <w:rFonts w:eastAsia="Arial Unicode MS"/>
          <w:b/>
        </w:rPr>
        <w:t>1. peatükk</w:t>
      </w:r>
    </w:p>
    <w:p w14:paraId="3A9DC861" w14:textId="77777777" w:rsidR="00F10C57" w:rsidRPr="002E6552" w:rsidRDefault="00F10C57" w:rsidP="00433BDE">
      <w:pPr>
        <w:widowControl w:val="0"/>
        <w:tabs>
          <w:tab w:val="center" w:pos="4938"/>
          <w:tab w:val="right" w:pos="9091"/>
        </w:tabs>
        <w:autoSpaceDE w:val="0"/>
        <w:jc w:val="both"/>
        <w:rPr>
          <w:rFonts w:eastAsia="Arial Unicode MS"/>
          <w:b/>
        </w:rPr>
      </w:pPr>
      <w:r w:rsidRPr="002E6552">
        <w:rPr>
          <w:rFonts w:eastAsia="Arial Unicode MS"/>
          <w:b/>
        </w:rPr>
        <w:t>Üldsätted</w:t>
      </w:r>
    </w:p>
    <w:p w14:paraId="521CFF8A" w14:textId="77777777" w:rsidR="00F10C57" w:rsidRPr="002E6552" w:rsidRDefault="00F10C57" w:rsidP="00433BDE">
      <w:pPr>
        <w:widowControl w:val="0"/>
        <w:tabs>
          <w:tab w:val="center" w:pos="4938"/>
          <w:tab w:val="right" w:pos="9091"/>
        </w:tabs>
        <w:autoSpaceDE w:val="0"/>
        <w:jc w:val="both"/>
        <w:rPr>
          <w:rFonts w:eastAsia="Arial Unicode MS"/>
        </w:rPr>
      </w:pPr>
    </w:p>
    <w:p w14:paraId="3D8423DB" w14:textId="77777777" w:rsidR="00F10C57" w:rsidRPr="002E6552" w:rsidRDefault="00F10C57" w:rsidP="00433BDE">
      <w:pPr>
        <w:widowControl w:val="0"/>
        <w:tabs>
          <w:tab w:val="center" w:pos="4938"/>
          <w:tab w:val="right" w:pos="9091"/>
        </w:tabs>
        <w:autoSpaceDE w:val="0"/>
        <w:jc w:val="both"/>
        <w:rPr>
          <w:rFonts w:eastAsia="Arial Unicode MS"/>
        </w:rPr>
      </w:pPr>
      <w:r w:rsidRPr="002E6552">
        <w:rPr>
          <w:rFonts w:eastAsia="Arial Unicode MS"/>
        </w:rPr>
        <w:t>Eelnõu 1. peatükis</w:t>
      </w:r>
      <w:r w:rsidR="001632E2" w:rsidRPr="002E6552">
        <w:rPr>
          <w:rFonts w:eastAsia="Arial Unicode MS"/>
        </w:rPr>
        <w:t xml:space="preserve"> sätestatakse</w:t>
      </w:r>
      <w:r w:rsidRPr="002E6552">
        <w:rPr>
          <w:rFonts w:eastAsia="Arial Unicode MS"/>
        </w:rPr>
        <w:t xml:space="preserve"> määruse kohaldamisala ja  toetuse andmise eesmär</w:t>
      </w:r>
      <w:r w:rsidR="001632E2" w:rsidRPr="002E6552">
        <w:rPr>
          <w:rFonts w:eastAsia="Arial Unicode MS"/>
        </w:rPr>
        <w:t>gid ja tulemused ning vaide esitamise kord</w:t>
      </w:r>
      <w:r w:rsidRPr="002E6552">
        <w:rPr>
          <w:rFonts w:eastAsia="Arial Unicode MS"/>
        </w:rPr>
        <w:t>, määratakse rakendusasutus ja –üksus ning kasutatavad terminid</w:t>
      </w:r>
      <w:r w:rsidR="008D74A0">
        <w:rPr>
          <w:rFonts w:eastAsia="Arial Unicode MS"/>
        </w:rPr>
        <w:t>, tuuakse välja</w:t>
      </w:r>
      <w:r w:rsidR="001632E2" w:rsidRPr="002E6552">
        <w:rPr>
          <w:rFonts w:eastAsia="Arial Unicode MS"/>
        </w:rPr>
        <w:t xml:space="preserve"> riigiabi tingimused</w:t>
      </w:r>
      <w:r w:rsidR="00D04239">
        <w:rPr>
          <w:rFonts w:eastAsia="Arial Unicode MS"/>
        </w:rPr>
        <w:t>, selgitatakse ettevõtja arengu</w:t>
      </w:r>
      <w:r w:rsidR="00DD095F">
        <w:rPr>
          <w:rFonts w:eastAsia="Arial Unicode MS"/>
        </w:rPr>
        <w:t>pla</w:t>
      </w:r>
      <w:r w:rsidR="00195FBE">
        <w:rPr>
          <w:rFonts w:eastAsia="Arial Unicode MS"/>
        </w:rPr>
        <w:t>ani sisu ja arenguplaanile sätestatud nõudeid</w:t>
      </w:r>
      <w:r w:rsidRPr="002E6552">
        <w:rPr>
          <w:rFonts w:eastAsia="Arial Unicode MS"/>
        </w:rPr>
        <w:t>.</w:t>
      </w:r>
    </w:p>
    <w:p w14:paraId="1160506B" w14:textId="77777777" w:rsidR="00F10C57" w:rsidRPr="002E6552" w:rsidRDefault="00F10C57" w:rsidP="00433BDE">
      <w:pPr>
        <w:widowControl w:val="0"/>
        <w:tabs>
          <w:tab w:val="center" w:pos="4938"/>
          <w:tab w:val="right" w:pos="9091"/>
        </w:tabs>
        <w:autoSpaceDE w:val="0"/>
        <w:jc w:val="both"/>
        <w:rPr>
          <w:rFonts w:eastAsia="Arial Unicode MS"/>
        </w:rPr>
      </w:pPr>
    </w:p>
    <w:p w14:paraId="36F9D3C4" w14:textId="7AE045BA" w:rsidR="00F10C57" w:rsidRPr="002E6552" w:rsidRDefault="00F10C57" w:rsidP="00433BDE">
      <w:pPr>
        <w:widowControl w:val="0"/>
        <w:tabs>
          <w:tab w:val="center" w:pos="4938"/>
          <w:tab w:val="right" w:pos="9091"/>
        </w:tabs>
        <w:autoSpaceDE w:val="0"/>
        <w:jc w:val="both"/>
        <w:rPr>
          <w:rFonts w:eastAsia="Arial Unicode MS"/>
        </w:rPr>
      </w:pPr>
      <w:r w:rsidRPr="002E6552">
        <w:rPr>
          <w:rFonts w:eastAsia="Arial Unicode MS"/>
          <w:u w:val="single"/>
        </w:rPr>
        <w:t>Eelnõu § 1</w:t>
      </w:r>
      <w:r w:rsidR="001871BC">
        <w:rPr>
          <w:rFonts w:eastAsia="Arial Unicode MS"/>
        </w:rPr>
        <w:t xml:space="preserve"> kehtestab</w:t>
      </w:r>
      <w:r w:rsidRPr="002E6552">
        <w:rPr>
          <w:rFonts w:eastAsia="Arial Unicode MS"/>
        </w:rPr>
        <w:t xml:space="preserve"> määruse eelnõu </w:t>
      </w:r>
      <w:r w:rsidR="00E46EE4" w:rsidRPr="002E6552">
        <w:rPr>
          <w:rFonts w:eastAsia="Arial Unicode MS"/>
        </w:rPr>
        <w:t xml:space="preserve">rakenduskava </w:t>
      </w:r>
      <w:r w:rsidRPr="002E6552">
        <w:rPr>
          <w:lang w:eastAsia="et-EE"/>
        </w:rPr>
        <w:t xml:space="preserve">prioriteetse suuna </w:t>
      </w:r>
      <w:r w:rsidR="00E46EE4" w:rsidRPr="002E6552">
        <w:rPr>
          <w:lang w:eastAsia="et-EE"/>
        </w:rPr>
        <w:t xml:space="preserve">„Kasvuvõimeline ettevõtlus ja seda toetav teadus- ja arendustegevus“ meetme </w:t>
      </w:r>
      <w:r w:rsidR="00195FBE" w:rsidRPr="00195FBE">
        <w:rPr>
          <w:lang w:eastAsia="et-EE"/>
        </w:rPr>
        <w:t xml:space="preserve">„Ettevõtja arenguplaani toetusmeede  ettevõtete arendus- ja eksporditegevustele kaasaaitamiseks ning juhtimisvõimekuse tõstmiseks“ </w:t>
      </w:r>
      <w:r w:rsidR="00E46EE4" w:rsidRPr="002E6552">
        <w:rPr>
          <w:lang w:eastAsia="et-EE"/>
        </w:rPr>
        <w:t xml:space="preserve">(edaspidi meede) </w:t>
      </w:r>
      <w:r w:rsidRPr="002E6552">
        <w:rPr>
          <w:lang w:eastAsia="et-EE"/>
        </w:rPr>
        <w:t xml:space="preserve">elluviimiseks toetuse andmise ja kasutamise tingimused ja korra. Meetme tegevuste elluviimist reguleerivat toetuse andmise tingimust (edaspidi </w:t>
      </w:r>
      <w:r w:rsidRPr="002E6552">
        <w:rPr>
          <w:i/>
          <w:lang w:eastAsia="et-EE"/>
        </w:rPr>
        <w:t>määrus</w:t>
      </w:r>
      <w:r w:rsidR="00195FBE">
        <w:rPr>
          <w:lang w:eastAsia="et-EE"/>
        </w:rPr>
        <w:t>) nimetatakse</w:t>
      </w:r>
      <w:r w:rsidRPr="002E6552">
        <w:rPr>
          <w:lang w:eastAsia="et-EE"/>
        </w:rPr>
        <w:t xml:space="preserve"> lühemalt „</w:t>
      </w:r>
      <w:r w:rsidR="009F106B">
        <w:rPr>
          <w:lang w:eastAsia="et-EE"/>
        </w:rPr>
        <w:t>Ettevõt</w:t>
      </w:r>
      <w:r w:rsidR="00195FBE" w:rsidRPr="00195FBE">
        <w:rPr>
          <w:lang w:eastAsia="et-EE"/>
        </w:rPr>
        <w:t>te arenguprogrammi toetusmeede</w:t>
      </w:r>
      <w:r w:rsidRPr="002E6552">
        <w:rPr>
          <w:lang w:eastAsia="et-EE"/>
        </w:rPr>
        <w:t>“</w:t>
      </w:r>
      <w:r w:rsidR="00091496" w:rsidRPr="002E6552">
        <w:rPr>
          <w:lang w:eastAsia="et-EE"/>
        </w:rPr>
        <w:t xml:space="preserve">. Viimast aluseks võttes on koostatud ka </w:t>
      </w:r>
      <w:r w:rsidRPr="002E6552">
        <w:rPr>
          <w:rFonts w:eastAsia="Arial Unicode MS"/>
        </w:rPr>
        <w:t>määruse</w:t>
      </w:r>
      <w:r w:rsidR="00091496" w:rsidRPr="002E6552">
        <w:rPr>
          <w:rFonts w:eastAsia="Arial Unicode MS"/>
        </w:rPr>
        <w:t xml:space="preserve"> nimi</w:t>
      </w:r>
      <w:r w:rsidRPr="002E6552">
        <w:rPr>
          <w:rFonts w:eastAsia="Arial Unicode MS"/>
        </w:rPr>
        <w:t xml:space="preserve">. </w:t>
      </w:r>
    </w:p>
    <w:p w14:paraId="293DD734" w14:textId="77777777" w:rsidR="00F10C57" w:rsidRPr="002E6552" w:rsidRDefault="00F10C57" w:rsidP="00433BDE">
      <w:pPr>
        <w:autoSpaceDE w:val="0"/>
        <w:autoSpaceDN w:val="0"/>
        <w:adjustRightInd w:val="0"/>
        <w:jc w:val="both"/>
        <w:rPr>
          <w:rFonts w:eastAsia="Arial Unicode MS"/>
          <w:u w:val="single"/>
        </w:rPr>
      </w:pPr>
    </w:p>
    <w:p w14:paraId="4475A6EE" w14:textId="2E8D0FD3" w:rsidR="00E977AC" w:rsidRDefault="00F10C57" w:rsidP="00433BDE">
      <w:pPr>
        <w:jc w:val="both"/>
        <w:rPr>
          <w:lang w:eastAsia="et-EE"/>
        </w:rPr>
      </w:pPr>
      <w:r w:rsidRPr="002E6552">
        <w:rPr>
          <w:rFonts w:eastAsia="Arial Unicode MS"/>
        </w:rPr>
        <w:t xml:space="preserve">Toetuse andmisel lähtutakse </w:t>
      </w:r>
      <w:r w:rsidRPr="002E6552">
        <w:rPr>
          <w:lang w:eastAsia="et-EE"/>
        </w:rPr>
        <w:t xml:space="preserve">rakenduskava eesmärkidest. </w:t>
      </w:r>
      <w:r w:rsidR="00E977AC">
        <w:rPr>
          <w:lang w:eastAsia="et-EE"/>
        </w:rPr>
        <w:t>Otseselt on käesolev toetusskeem suunatud rakenduskava eesmärgi</w:t>
      </w:r>
      <w:r w:rsidR="004F44ED">
        <w:rPr>
          <w:lang w:eastAsia="et-EE"/>
        </w:rPr>
        <w:t xml:space="preserve"> „</w:t>
      </w:r>
      <w:r w:rsidR="00E977AC">
        <w:rPr>
          <w:lang w:eastAsia="et-EE"/>
        </w:rPr>
        <w:t>Eesti ettevõtted pakuvad uuenduslikke kõrge lisandväärtusega tooteid ja teenuseid</w:t>
      </w:r>
      <w:r w:rsidR="004F44ED">
        <w:rPr>
          <w:lang w:eastAsia="et-EE"/>
        </w:rPr>
        <w:t>“</w:t>
      </w:r>
      <w:r w:rsidR="00E977AC">
        <w:rPr>
          <w:lang w:eastAsia="et-EE"/>
        </w:rPr>
        <w:t xml:space="preserve"> täitmisele. </w:t>
      </w:r>
    </w:p>
    <w:p w14:paraId="7091C569" w14:textId="77777777" w:rsidR="0054738A" w:rsidRDefault="0054738A" w:rsidP="00433BDE">
      <w:pPr>
        <w:jc w:val="both"/>
        <w:rPr>
          <w:lang w:eastAsia="et-EE"/>
        </w:rPr>
      </w:pPr>
    </w:p>
    <w:p w14:paraId="234F3BE4" w14:textId="575753F5" w:rsidR="00D9079D" w:rsidRDefault="000624D1" w:rsidP="00433BDE">
      <w:pPr>
        <w:jc w:val="both"/>
        <w:rPr>
          <w:lang w:eastAsia="et-EE"/>
        </w:rPr>
      </w:pPr>
      <w:r>
        <w:rPr>
          <w:lang w:eastAsia="et-EE"/>
        </w:rPr>
        <w:t xml:space="preserve">Selles </w:t>
      </w:r>
      <w:r w:rsidR="00D9079D">
        <w:rPr>
          <w:lang w:eastAsia="et-EE"/>
        </w:rPr>
        <w:t>peatükis sätestatakse, et nimetatud määruse sihtrühmaks on tööstusettevõtjad, mille alla</w:t>
      </w:r>
      <w:r w:rsidR="001871BC">
        <w:rPr>
          <w:lang w:eastAsia="et-EE"/>
        </w:rPr>
        <w:t xml:space="preserve"> loetakse mäetööstuse ettevõtte</w:t>
      </w:r>
      <w:r w:rsidR="00D9079D">
        <w:rPr>
          <w:lang w:eastAsia="et-EE"/>
        </w:rPr>
        <w:t>d (EMTAK 2008 jagu B) ja töötleva tööstuse ettevõtted (EMTAK 2008 jagu C)</w:t>
      </w:r>
      <w:r w:rsidR="00340338">
        <w:rPr>
          <w:lang w:eastAsia="et-EE"/>
        </w:rPr>
        <w:t xml:space="preserve">, </w:t>
      </w:r>
      <w:r w:rsidR="00340338" w:rsidRPr="00340338">
        <w:rPr>
          <w:lang w:eastAsia="et-EE"/>
        </w:rPr>
        <w:t>välja arvatud tubakatoodete tootmine (EMTAK 2008 jagu C 12)</w:t>
      </w:r>
      <w:r w:rsidR="00637A79">
        <w:rPr>
          <w:lang w:eastAsia="et-EE"/>
        </w:rPr>
        <w:t>.</w:t>
      </w:r>
      <w:r>
        <w:rPr>
          <w:lang w:eastAsia="et-EE"/>
        </w:rPr>
        <w:t xml:space="preserve"> Lisaks tööstusettevõtetele on </w:t>
      </w:r>
      <w:r w:rsidR="00827D37">
        <w:rPr>
          <w:lang w:eastAsia="et-EE"/>
        </w:rPr>
        <w:t xml:space="preserve">määruse sihtrühmaks </w:t>
      </w:r>
      <w:r w:rsidR="004F44ED">
        <w:rPr>
          <w:lang w:eastAsia="et-EE"/>
        </w:rPr>
        <w:t xml:space="preserve">ka </w:t>
      </w:r>
      <w:r w:rsidR="00827D37">
        <w:rPr>
          <w:lang w:eastAsia="et-EE"/>
        </w:rPr>
        <w:t xml:space="preserve">ettevõtjad, </w:t>
      </w:r>
      <w:r w:rsidR="00827D37" w:rsidRPr="00827D37">
        <w:rPr>
          <w:lang w:eastAsia="et-EE"/>
        </w:rPr>
        <w:t>kelle arenguplaani tegevused ning käesoleva määruse abil elluviidav tegevus kuulub nutika spetsialiseerumise kasvualade hulka.</w:t>
      </w:r>
      <w:r w:rsidR="00827D37">
        <w:rPr>
          <w:lang w:eastAsia="et-EE"/>
        </w:rPr>
        <w:t xml:space="preserve"> </w:t>
      </w:r>
      <w:r w:rsidR="00584490">
        <w:rPr>
          <w:lang w:eastAsia="et-EE"/>
        </w:rPr>
        <w:t>Nimetatud sihtrühmad on valitud lähtudes nende olulisusest ja mõjust Eesti majandusele.</w:t>
      </w:r>
    </w:p>
    <w:p w14:paraId="31B95F4A" w14:textId="77777777" w:rsidR="00827D37" w:rsidRDefault="00827D37" w:rsidP="00433BDE">
      <w:pPr>
        <w:jc w:val="both"/>
        <w:rPr>
          <w:lang w:eastAsia="et-EE"/>
        </w:rPr>
      </w:pPr>
    </w:p>
    <w:p w14:paraId="2F895BF9" w14:textId="77777777" w:rsidR="00827D37" w:rsidRDefault="00E05E26" w:rsidP="00433BDE">
      <w:pPr>
        <w:jc w:val="both"/>
        <w:rPr>
          <w:lang w:eastAsia="et-EE"/>
        </w:rPr>
      </w:pPr>
      <w:r>
        <w:rPr>
          <w:lang w:eastAsia="et-EE"/>
        </w:rPr>
        <w:t>Eesti tööstus</w:t>
      </w:r>
      <w:r w:rsidR="00827D37">
        <w:rPr>
          <w:lang w:eastAsia="et-EE"/>
        </w:rPr>
        <w:t xml:space="preserve">sektor on üks Eesti majanduse olulisematest üksiksektoritest, milles toimuvad muudatused mõjutavad kogu Eesti majanduse käekäiku. </w:t>
      </w:r>
    </w:p>
    <w:p w14:paraId="439A1AE0" w14:textId="77777777" w:rsidR="00827D37" w:rsidRDefault="00827D37" w:rsidP="00433BDE">
      <w:pPr>
        <w:jc w:val="both"/>
        <w:rPr>
          <w:lang w:eastAsia="et-EE"/>
        </w:rPr>
      </w:pPr>
    </w:p>
    <w:p w14:paraId="0A05DECB" w14:textId="7AB099D5" w:rsidR="00827D37" w:rsidRDefault="004F44ED" w:rsidP="00433BDE">
      <w:pPr>
        <w:jc w:val="both"/>
        <w:rPr>
          <w:lang w:eastAsia="et-EE"/>
        </w:rPr>
      </w:pPr>
      <w:r>
        <w:rPr>
          <w:lang w:eastAsia="et-EE"/>
        </w:rPr>
        <w:t>S</w:t>
      </w:r>
      <w:r w:rsidR="00827D37">
        <w:rPr>
          <w:lang w:eastAsia="et-EE"/>
        </w:rPr>
        <w:t>iinkohal</w:t>
      </w:r>
      <w:r w:rsidR="00127B1C">
        <w:rPr>
          <w:lang w:eastAsia="et-EE"/>
        </w:rPr>
        <w:t xml:space="preserve"> </w:t>
      </w:r>
      <w:r>
        <w:rPr>
          <w:lang w:eastAsia="et-EE"/>
        </w:rPr>
        <w:t xml:space="preserve">on </w:t>
      </w:r>
      <w:r w:rsidR="00127B1C">
        <w:rPr>
          <w:lang w:eastAsia="et-EE"/>
        </w:rPr>
        <w:t>välja toodud järgmised 2014.a statistilised andmed</w:t>
      </w:r>
      <w:r w:rsidR="00827D37">
        <w:rPr>
          <w:lang w:eastAsia="et-EE"/>
        </w:rPr>
        <w:t>:</w:t>
      </w:r>
    </w:p>
    <w:p w14:paraId="1E40B5F0" w14:textId="6CF56C68" w:rsidR="0036195A" w:rsidRPr="00127B1C" w:rsidRDefault="0036195A" w:rsidP="00433BDE">
      <w:pPr>
        <w:pStyle w:val="ListParagraph"/>
        <w:numPr>
          <w:ilvl w:val="0"/>
          <w:numId w:val="28"/>
        </w:numPr>
        <w:spacing w:line="240" w:lineRule="auto"/>
        <w:jc w:val="both"/>
        <w:rPr>
          <w:rFonts w:ascii="Times New Roman" w:hAnsi="Times New Roman"/>
          <w:sz w:val="24"/>
          <w:szCs w:val="24"/>
          <w:lang w:eastAsia="et-EE"/>
        </w:rPr>
      </w:pPr>
      <w:r w:rsidRPr="00127B1C">
        <w:rPr>
          <w:rFonts w:ascii="Times New Roman" w:hAnsi="Times New Roman"/>
          <w:sz w:val="24"/>
          <w:szCs w:val="24"/>
          <w:lang w:eastAsia="et-EE"/>
        </w:rPr>
        <w:t>tööstus</w:t>
      </w:r>
      <w:r w:rsidR="001270F6">
        <w:rPr>
          <w:rFonts w:ascii="Times New Roman" w:hAnsi="Times New Roman"/>
          <w:sz w:val="24"/>
          <w:szCs w:val="24"/>
          <w:lang w:eastAsia="et-EE"/>
        </w:rPr>
        <w:t>sektori</w:t>
      </w:r>
      <w:r w:rsidRPr="00127B1C">
        <w:rPr>
          <w:rFonts w:ascii="Times New Roman" w:hAnsi="Times New Roman"/>
          <w:sz w:val="24"/>
          <w:szCs w:val="24"/>
          <w:lang w:eastAsia="et-EE"/>
        </w:rPr>
        <w:t xml:space="preserve"> osakaal</w:t>
      </w:r>
      <w:r w:rsidR="00827D37" w:rsidRPr="00127B1C">
        <w:rPr>
          <w:rFonts w:ascii="Times New Roman" w:hAnsi="Times New Roman"/>
          <w:sz w:val="24"/>
          <w:szCs w:val="24"/>
          <w:lang w:eastAsia="et-EE"/>
        </w:rPr>
        <w:t xml:space="preserve"> Eesti </w:t>
      </w:r>
      <w:r w:rsidRPr="00862F1C">
        <w:rPr>
          <w:rFonts w:ascii="Times New Roman" w:hAnsi="Times New Roman"/>
          <w:sz w:val="24"/>
          <w:szCs w:val="24"/>
          <w:lang w:eastAsia="et-EE"/>
        </w:rPr>
        <w:t>SKP</w:t>
      </w:r>
      <w:r w:rsidR="00862F1C">
        <w:rPr>
          <w:rFonts w:ascii="Times New Roman" w:hAnsi="Times New Roman"/>
          <w:sz w:val="24"/>
          <w:szCs w:val="24"/>
          <w:lang w:eastAsia="et-EE"/>
        </w:rPr>
        <w:t>-st</w:t>
      </w:r>
      <w:r w:rsidR="00827D37" w:rsidRPr="00127B1C">
        <w:rPr>
          <w:rFonts w:ascii="Times New Roman" w:hAnsi="Times New Roman"/>
          <w:sz w:val="24"/>
          <w:szCs w:val="24"/>
          <w:lang w:eastAsia="et-EE"/>
        </w:rPr>
        <w:t xml:space="preserve"> </w:t>
      </w:r>
      <w:r w:rsidR="001871BC">
        <w:rPr>
          <w:rFonts w:ascii="Times New Roman" w:hAnsi="Times New Roman"/>
          <w:sz w:val="24"/>
          <w:szCs w:val="24"/>
          <w:lang w:eastAsia="et-EE"/>
        </w:rPr>
        <w:t>oli</w:t>
      </w:r>
      <w:r w:rsidRPr="00127B1C">
        <w:rPr>
          <w:rFonts w:ascii="Times New Roman" w:hAnsi="Times New Roman"/>
          <w:sz w:val="24"/>
          <w:szCs w:val="24"/>
          <w:lang w:eastAsia="et-EE"/>
        </w:rPr>
        <w:t xml:space="preserve"> </w:t>
      </w:r>
      <w:r w:rsidR="001270F6">
        <w:rPr>
          <w:rFonts w:ascii="Times New Roman" w:hAnsi="Times New Roman"/>
          <w:sz w:val="24"/>
          <w:szCs w:val="24"/>
          <w:lang w:eastAsia="et-EE"/>
        </w:rPr>
        <w:t>21,5</w:t>
      </w:r>
      <w:r w:rsidR="00827D37" w:rsidRPr="00127B1C">
        <w:rPr>
          <w:rFonts w:ascii="Times New Roman" w:hAnsi="Times New Roman"/>
          <w:sz w:val="24"/>
          <w:szCs w:val="24"/>
          <w:lang w:eastAsia="et-EE"/>
        </w:rPr>
        <w:t xml:space="preserve">%, olles </w:t>
      </w:r>
      <w:r w:rsidRPr="00127B1C">
        <w:rPr>
          <w:rFonts w:ascii="Times New Roman" w:hAnsi="Times New Roman"/>
          <w:sz w:val="24"/>
          <w:szCs w:val="24"/>
          <w:lang w:eastAsia="et-EE"/>
        </w:rPr>
        <w:t xml:space="preserve">sellega </w:t>
      </w:r>
      <w:r w:rsidR="00827D37" w:rsidRPr="00127B1C">
        <w:rPr>
          <w:rFonts w:ascii="Times New Roman" w:hAnsi="Times New Roman"/>
          <w:sz w:val="24"/>
          <w:szCs w:val="24"/>
          <w:lang w:eastAsia="et-EE"/>
        </w:rPr>
        <w:t xml:space="preserve">suurima SKP-ga </w:t>
      </w:r>
      <w:r w:rsidRPr="00127B1C">
        <w:rPr>
          <w:rFonts w:ascii="Times New Roman" w:hAnsi="Times New Roman"/>
          <w:sz w:val="24"/>
          <w:szCs w:val="24"/>
          <w:lang w:eastAsia="et-EE"/>
        </w:rPr>
        <w:t>majanduse tegevusala Eestis;</w:t>
      </w:r>
    </w:p>
    <w:p w14:paraId="339087C3" w14:textId="77777777" w:rsidR="0036195A" w:rsidRPr="00127B1C" w:rsidRDefault="0036195A" w:rsidP="00433BDE">
      <w:pPr>
        <w:pStyle w:val="ListParagraph"/>
        <w:numPr>
          <w:ilvl w:val="0"/>
          <w:numId w:val="28"/>
        </w:numPr>
        <w:spacing w:line="240" w:lineRule="auto"/>
        <w:jc w:val="both"/>
        <w:rPr>
          <w:rFonts w:ascii="Times New Roman" w:hAnsi="Times New Roman"/>
          <w:sz w:val="24"/>
          <w:szCs w:val="24"/>
          <w:lang w:eastAsia="et-EE"/>
        </w:rPr>
      </w:pPr>
      <w:r w:rsidRPr="00127B1C">
        <w:rPr>
          <w:rFonts w:ascii="Times New Roman" w:hAnsi="Times New Roman"/>
          <w:sz w:val="24"/>
          <w:szCs w:val="24"/>
          <w:lang w:eastAsia="et-EE"/>
        </w:rPr>
        <w:t>tööstus</w:t>
      </w:r>
      <w:r w:rsidR="001270F6">
        <w:rPr>
          <w:rFonts w:ascii="Times New Roman" w:hAnsi="Times New Roman"/>
          <w:sz w:val="24"/>
          <w:szCs w:val="24"/>
          <w:lang w:eastAsia="et-EE"/>
        </w:rPr>
        <w:t>e eksport moodustab ligikaudu 60,8</w:t>
      </w:r>
      <w:r w:rsidRPr="00127B1C">
        <w:rPr>
          <w:rFonts w:ascii="Times New Roman" w:hAnsi="Times New Roman"/>
          <w:sz w:val="24"/>
          <w:szCs w:val="24"/>
          <w:lang w:eastAsia="et-EE"/>
        </w:rPr>
        <w:t xml:space="preserve">% kogu </w:t>
      </w:r>
      <w:r w:rsidR="00827D37" w:rsidRPr="00127B1C">
        <w:rPr>
          <w:rFonts w:ascii="Times New Roman" w:hAnsi="Times New Roman"/>
          <w:sz w:val="24"/>
          <w:szCs w:val="24"/>
          <w:lang w:eastAsia="et-EE"/>
        </w:rPr>
        <w:t>Eesti</w:t>
      </w:r>
      <w:r w:rsidR="00E05E26">
        <w:rPr>
          <w:rFonts w:ascii="Times New Roman" w:hAnsi="Times New Roman"/>
          <w:sz w:val="24"/>
          <w:szCs w:val="24"/>
          <w:lang w:eastAsia="et-EE"/>
        </w:rPr>
        <w:t xml:space="preserve"> ekspordist</w:t>
      </w:r>
      <w:r w:rsidRPr="00127B1C">
        <w:rPr>
          <w:rFonts w:ascii="Times New Roman" w:hAnsi="Times New Roman"/>
          <w:sz w:val="24"/>
          <w:szCs w:val="24"/>
          <w:lang w:eastAsia="et-EE"/>
        </w:rPr>
        <w:t>;</w:t>
      </w:r>
    </w:p>
    <w:p w14:paraId="4AB519EF" w14:textId="77777777" w:rsidR="00827D37" w:rsidRDefault="00827D37" w:rsidP="00433BDE">
      <w:pPr>
        <w:pStyle w:val="ListParagraph"/>
        <w:numPr>
          <w:ilvl w:val="0"/>
          <w:numId w:val="28"/>
        </w:numPr>
        <w:spacing w:line="240" w:lineRule="auto"/>
        <w:jc w:val="both"/>
        <w:rPr>
          <w:rFonts w:ascii="Times New Roman" w:hAnsi="Times New Roman"/>
          <w:sz w:val="24"/>
          <w:szCs w:val="24"/>
          <w:lang w:eastAsia="et-EE"/>
        </w:rPr>
      </w:pPr>
      <w:r w:rsidRPr="00127B1C">
        <w:rPr>
          <w:rFonts w:ascii="Times New Roman" w:hAnsi="Times New Roman"/>
          <w:sz w:val="24"/>
          <w:szCs w:val="24"/>
          <w:lang w:eastAsia="et-EE"/>
        </w:rPr>
        <w:t xml:space="preserve">Eesti </w:t>
      </w:r>
      <w:r w:rsidR="0036195A" w:rsidRPr="00127B1C">
        <w:rPr>
          <w:rFonts w:ascii="Times New Roman" w:hAnsi="Times New Roman"/>
          <w:sz w:val="24"/>
          <w:szCs w:val="24"/>
          <w:lang w:eastAsia="et-EE"/>
        </w:rPr>
        <w:t>t</w:t>
      </w:r>
      <w:r w:rsidRPr="00127B1C">
        <w:rPr>
          <w:rFonts w:ascii="Times New Roman" w:hAnsi="Times New Roman"/>
          <w:sz w:val="24"/>
          <w:szCs w:val="24"/>
          <w:lang w:eastAsia="et-EE"/>
        </w:rPr>
        <w:t xml:space="preserve">ööstussektoris töötab </w:t>
      </w:r>
      <w:r w:rsidR="0036195A" w:rsidRPr="00127B1C">
        <w:rPr>
          <w:rFonts w:ascii="Times New Roman" w:hAnsi="Times New Roman"/>
          <w:sz w:val="24"/>
          <w:szCs w:val="24"/>
          <w:lang w:eastAsia="et-EE"/>
        </w:rPr>
        <w:t xml:space="preserve">ligikaudu </w:t>
      </w:r>
      <w:r w:rsidR="001270F6">
        <w:rPr>
          <w:rFonts w:ascii="Times New Roman" w:hAnsi="Times New Roman"/>
          <w:sz w:val="24"/>
          <w:szCs w:val="24"/>
          <w:lang w:eastAsia="et-EE"/>
        </w:rPr>
        <w:t>129</w:t>
      </w:r>
      <w:r w:rsidRPr="00127B1C">
        <w:rPr>
          <w:rFonts w:ascii="Times New Roman" w:hAnsi="Times New Roman"/>
          <w:sz w:val="24"/>
          <w:szCs w:val="24"/>
          <w:lang w:eastAsia="et-EE"/>
        </w:rPr>
        <w:t xml:space="preserve"> 000 inimest</w:t>
      </w:r>
      <w:r w:rsidR="00E05E26">
        <w:rPr>
          <w:rFonts w:ascii="Times New Roman" w:hAnsi="Times New Roman"/>
          <w:sz w:val="24"/>
          <w:szCs w:val="24"/>
          <w:lang w:eastAsia="et-EE"/>
        </w:rPr>
        <w:t>, see on</w:t>
      </w:r>
      <w:r w:rsidR="00127B1C" w:rsidRPr="00127B1C">
        <w:rPr>
          <w:rFonts w:ascii="Times New Roman" w:hAnsi="Times New Roman"/>
          <w:sz w:val="24"/>
          <w:szCs w:val="24"/>
          <w:lang w:eastAsia="et-EE"/>
        </w:rPr>
        <w:t xml:space="preserve"> enam k</w:t>
      </w:r>
      <w:r w:rsidR="001270F6">
        <w:rPr>
          <w:rFonts w:ascii="Times New Roman" w:hAnsi="Times New Roman"/>
          <w:sz w:val="24"/>
          <w:szCs w:val="24"/>
          <w:lang w:eastAsia="et-EE"/>
        </w:rPr>
        <w:t>ui 20,7</w:t>
      </w:r>
      <w:r w:rsidR="00127B1C" w:rsidRPr="00127B1C">
        <w:rPr>
          <w:rFonts w:ascii="Times New Roman" w:hAnsi="Times New Roman"/>
          <w:sz w:val="24"/>
          <w:szCs w:val="24"/>
          <w:lang w:eastAsia="et-EE"/>
        </w:rPr>
        <w:t>% kogu Eesti hõivatutest</w:t>
      </w:r>
      <w:r w:rsidRPr="00127B1C">
        <w:rPr>
          <w:rFonts w:ascii="Times New Roman" w:hAnsi="Times New Roman"/>
          <w:sz w:val="24"/>
          <w:szCs w:val="24"/>
          <w:lang w:eastAsia="et-EE"/>
        </w:rPr>
        <w:t>.</w:t>
      </w:r>
      <w:r w:rsidR="00127B1C" w:rsidRPr="00127B1C">
        <w:rPr>
          <w:rFonts w:ascii="Times New Roman" w:hAnsi="Times New Roman"/>
          <w:sz w:val="24"/>
          <w:szCs w:val="24"/>
          <w:lang w:eastAsia="et-EE"/>
        </w:rPr>
        <w:t xml:space="preserve"> Töötleva tööstuse sektor on suurim tööandja Eesti majanduse tegevusalade </w:t>
      </w:r>
      <w:r w:rsidR="00127B1C">
        <w:rPr>
          <w:rFonts w:ascii="Times New Roman" w:hAnsi="Times New Roman"/>
          <w:sz w:val="24"/>
          <w:szCs w:val="24"/>
          <w:lang w:eastAsia="et-EE"/>
        </w:rPr>
        <w:t>lõikes.</w:t>
      </w:r>
    </w:p>
    <w:p w14:paraId="20B0B45A" w14:textId="7F8C818C" w:rsidR="00AD6FDE" w:rsidRDefault="00AD6FDE" w:rsidP="00D75E47">
      <w:pPr>
        <w:jc w:val="both"/>
        <w:rPr>
          <w:lang w:eastAsia="et-EE"/>
        </w:rPr>
      </w:pPr>
      <w:r>
        <w:rPr>
          <w:lang w:eastAsia="et-EE"/>
        </w:rPr>
        <w:t>Lisaks tuleb rõhutada tööstuss</w:t>
      </w:r>
      <w:r w:rsidR="00E05E26">
        <w:rPr>
          <w:lang w:eastAsia="et-EE"/>
        </w:rPr>
        <w:t>ektori olulisust ja mõju teistele</w:t>
      </w:r>
      <w:r>
        <w:rPr>
          <w:lang w:eastAsia="et-EE"/>
        </w:rPr>
        <w:t xml:space="preserve"> majandusvaldkondadele. Vastavalt Euroopa Komisjoni </w:t>
      </w:r>
      <w:r w:rsidR="007F4BC9">
        <w:rPr>
          <w:lang w:eastAsia="et-EE"/>
        </w:rPr>
        <w:t xml:space="preserve">poolt </w:t>
      </w:r>
      <w:r w:rsidR="00386A0F">
        <w:rPr>
          <w:lang w:eastAsia="et-EE"/>
        </w:rPr>
        <w:t xml:space="preserve">algatatud </w:t>
      </w:r>
      <w:r w:rsidR="00290000">
        <w:rPr>
          <w:lang w:eastAsia="et-EE"/>
        </w:rPr>
        <w:t xml:space="preserve">poliitikainitsiatiivi </w:t>
      </w:r>
      <w:r w:rsidR="004F44ED">
        <w:rPr>
          <w:lang w:eastAsia="et-EE"/>
        </w:rPr>
        <w:t>„</w:t>
      </w:r>
      <w:r w:rsidR="00290000">
        <w:rPr>
          <w:lang w:eastAsia="et-EE"/>
        </w:rPr>
        <w:t xml:space="preserve">Euroopa tööstuse </w:t>
      </w:r>
      <w:r w:rsidR="00290000">
        <w:rPr>
          <w:lang w:eastAsia="et-EE"/>
        </w:rPr>
        <w:lastRenderedPageBreak/>
        <w:t>renessanss</w:t>
      </w:r>
      <w:r w:rsidR="004F44ED">
        <w:rPr>
          <w:lang w:eastAsia="et-EE"/>
        </w:rPr>
        <w:t>“</w:t>
      </w:r>
      <w:r w:rsidR="00290000">
        <w:rPr>
          <w:lang w:eastAsia="et-EE"/>
        </w:rPr>
        <w:t xml:space="preserve"> raames tutvustatud andmetele</w:t>
      </w:r>
      <w:r w:rsidR="00386A0F">
        <w:rPr>
          <w:rStyle w:val="FootnoteReference"/>
          <w:lang w:eastAsia="et-EE"/>
        </w:rPr>
        <w:footnoteReference w:id="3"/>
      </w:r>
      <w:r w:rsidR="00290000">
        <w:rPr>
          <w:lang w:eastAsia="et-EE"/>
        </w:rPr>
        <w:t xml:space="preserve"> aitab</w:t>
      </w:r>
      <w:r w:rsidR="00290000" w:rsidRPr="00290000">
        <w:rPr>
          <w:lang w:eastAsia="et-EE"/>
        </w:rPr>
        <w:t xml:space="preserve"> ig</w:t>
      </w:r>
      <w:r w:rsidR="00290000">
        <w:rPr>
          <w:lang w:eastAsia="et-EE"/>
        </w:rPr>
        <w:t>a täiendav töökoht tööstuses luua</w:t>
      </w:r>
      <w:r w:rsidR="00290000" w:rsidRPr="00290000">
        <w:rPr>
          <w:lang w:eastAsia="et-EE"/>
        </w:rPr>
        <w:t xml:space="preserve"> 0,5</w:t>
      </w:r>
      <w:r w:rsidR="00290000">
        <w:rPr>
          <w:lang w:eastAsia="et-EE"/>
        </w:rPr>
        <w:t xml:space="preserve">–2 töökohta muudes sektorites. </w:t>
      </w:r>
    </w:p>
    <w:p w14:paraId="3603A1F5" w14:textId="77777777" w:rsidR="0014199B" w:rsidRDefault="0014199B" w:rsidP="00433BDE">
      <w:pPr>
        <w:jc w:val="both"/>
        <w:rPr>
          <w:lang w:eastAsia="et-EE"/>
        </w:rPr>
      </w:pPr>
    </w:p>
    <w:p w14:paraId="446915DC" w14:textId="77777777" w:rsidR="00AA6171" w:rsidRDefault="0014199B" w:rsidP="00D75E47">
      <w:pPr>
        <w:jc w:val="both"/>
        <w:rPr>
          <w:noProof/>
        </w:rPr>
      </w:pPr>
      <w:r w:rsidRPr="002E6552">
        <w:rPr>
          <w:noProof/>
        </w:rPr>
        <w:t xml:space="preserve">Euroopa Komisjoni poolt ellu kutsutud nutika spetsialiseerumise </w:t>
      </w:r>
      <w:r>
        <w:rPr>
          <w:noProof/>
        </w:rPr>
        <w:t xml:space="preserve">poliitikainitsiatiivi </w:t>
      </w:r>
      <w:r w:rsidRPr="002E6552">
        <w:rPr>
          <w:noProof/>
        </w:rPr>
        <w:t>eesmärgiks on välja selgitada nee</w:t>
      </w:r>
      <w:r>
        <w:rPr>
          <w:noProof/>
        </w:rPr>
        <w:t>d ettevõtluse valdkonnad, millel</w:t>
      </w:r>
      <w:r w:rsidRPr="002E6552">
        <w:rPr>
          <w:noProof/>
        </w:rPr>
        <w:t xml:space="preserve"> on keskmisest suurem kasvupotentsiaal ja lo</w:t>
      </w:r>
      <w:r w:rsidR="00290000">
        <w:rPr>
          <w:noProof/>
        </w:rPr>
        <w:t>odav lisandväärtus ning kus sekt</w:t>
      </w:r>
      <w:r w:rsidR="00AA6171">
        <w:rPr>
          <w:noProof/>
        </w:rPr>
        <w:t>oritevahelise teadmiste leviku</w:t>
      </w:r>
      <w:r w:rsidR="00290000">
        <w:rPr>
          <w:noProof/>
        </w:rPr>
        <w:t xml:space="preserve"> ning uute teadmiste ja oskuste rakendamisega</w:t>
      </w:r>
      <w:r w:rsidRPr="002E6552">
        <w:rPr>
          <w:noProof/>
        </w:rPr>
        <w:t xml:space="preserve"> </w:t>
      </w:r>
      <w:r w:rsidR="00290000">
        <w:rPr>
          <w:noProof/>
        </w:rPr>
        <w:t>suudetakse</w:t>
      </w:r>
      <w:r w:rsidR="00E05E26">
        <w:rPr>
          <w:noProof/>
        </w:rPr>
        <w:t xml:space="preserve"> saavutada suuri</w:t>
      </w:r>
      <w:r w:rsidRPr="002E6552">
        <w:rPr>
          <w:noProof/>
        </w:rPr>
        <w:t>m konkurentsieelis.</w:t>
      </w:r>
      <w:r>
        <w:rPr>
          <w:noProof/>
        </w:rPr>
        <w:t xml:space="preserve"> </w:t>
      </w:r>
    </w:p>
    <w:p w14:paraId="0E787B4E" w14:textId="77777777" w:rsidR="00AA6171" w:rsidRDefault="00AA6171">
      <w:pPr>
        <w:jc w:val="both"/>
        <w:rPr>
          <w:noProof/>
        </w:rPr>
      </w:pPr>
    </w:p>
    <w:p w14:paraId="3F1F25C5" w14:textId="27816388" w:rsidR="00AA6171" w:rsidRDefault="00AA6171">
      <w:pPr>
        <w:jc w:val="both"/>
        <w:rPr>
          <w:lang w:eastAsia="et-EE"/>
        </w:rPr>
      </w:pPr>
      <w:r>
        <w:rPr>
          <w:noProof/>
        </w:rPr>
        <w:t xml:space="preserve">Nutika spetsailiseerumise kontseptsioon lähtub põhimõttest, et </w:t>
      </w:r>
      <w:r w:rsidR="0014199B" w:rsidRPr="0014199B">
        <w:rPr>
          <w:lang w:eastAsia="et-EE"/>
        </w:rPr>
        <w:t xml:space="preserve">erinevad regioonid ja riigid </w:t>
      </w:r>
      <w:r w:rsidR="00E05E26">
        <w:rPr>
          <w:lang w:eastAsia="et-EE"/>
        </w:rPr>
        <w:t xml:space="preserve">on </w:t>
      </w:r>
      <w:r w:rsidR="0014199B" w:rsidRPr="0014199B">
        <w:rPr>
          <w:lang w:eastAsia="et-EE"/>
        </w:rPr>
        <w:t>erinevad mitte ainult tehnoloogiliste ja tööstusharude kompetentside osas, vaid nad arenevad ka erineva evolutsioonilise trajektoori alusel.</w:t>
      </w:r>
      <w:r>
        <w:rPr>
          <w:lang w:eastAsia="et-EE"/>
        </w:rPr>
        <w:t xml:space="preserve"> Tootlikkuse kasv saab lähtuda üksnes </w:t>
      </w:r>
      <w:r w:rsidR="0014199B" w:rsidRPr="0014199B">
        <w:rPr>
          <w:lang w:eastAsia="et-EE"/>
        </w:rPr>
        <w:t xml:space="preserve"> eksisteerivate</w:t>
      </w:r>
      <w:r>
        <w:rPr>
          <w:lang w:eastAsia="et-EE"/>
        </w:rPr>
        <w:t>st</w:t>
      </w:r>
      <w:r w:rsidR="0014199B" w:rsidRPr="0014199B">
        <w:rPr>
          <w:lang w:eastAsia="et-EE"/>
        </w:rPr>
        <w:t xml:space="preserve"> traditsiooniliste</w:t>
      </w:r>
      <w:r>
        <w:rPr>
          <w:lang w:eastAsia="et-EE"/>
        </w:rPr>
        <w:t>st</w:t>
      </w:r>
      <w:r w:rsidR="0014199B" w:rsidRPr="0014199B">
        <w:rPr>
          <w:lang w:eastAsia="et-EE"/>
        </w:rPr>
        <w:t xml:space="preserve"> tugevuste</w:t>
      </w:r>
      <w:r>
        <w:rPr>
          <w:lang w:eastAsia="et-EE"/>
        </w:rPr>
        <w:t>st.</w:t>
      </w:r>
      <w:r w:rsidR="001916B7">
        <w:rPr>
          <w:rStyle w:val="FootnoteReference"/>
          <w:lang w:eastAsia="et-EE"/>
        </w:rPr>
        <w:footnoteReference w:id="4"/>
      </w:r>
    </w:p>
    <w:p w14:paraId="28F8C684" w14:textId="77777777" w:rsidR="0014199B" w:rsidRDefault="0014199B" w:rsidP="00433BDE">
      <w:pPr>
        <w:jc w:val="both"/>
        <w:rPr>
          <w:lang w:eastAsia="et-EE"/>
        </w:rPr>
      </w:pPr>
    </w:p>
    <w:p w14:paraId="6AE48886" w14:textId="035A2B4C" w:rsidR="00BD1798" w:rsidRDefault="00584490" w:rsidP="00433BDE">
      <w:pPr>
        <w:jc w:val="both"/>
        <w:rPr>
          <w:noProof/>
        </w:rPr>
      </w:pPr>
      <w:r>
        <w:rPr>
          <w:noProof/>
        </w:rPr>
        <w:t>N</w:t>
      </w:r>
      <w:r w:rsidR="00BD1798" w:rsidRPr="002E6552">
        <w:rPr>
          <w:noProof/>
        </w:rPr>
        <w:t xml:space="preserve">utika spetsialiseerumise kasvualad </w:t>
      </w:r>
      <w:r w:rsidR="00E05E26">
        <w:rPr>
          <w:noProof/>
        </w:rPr>
        <w:t xml:space="preserve">määratakse </w:t>
      </w:r>
      <w:r w:rsidR="00BD1798" w:rsidRPr="002E6552">
        <w:rPr>
          <w:noProof/>
        </w:rPr>
        <w:t xml:space="preserve">liikmesriikide põhiselt. Eestis viis vastava uuringu läbi Eesti Arengufond (edaspidi </w:t>
      </w:r>
      <w:r w:rsidR="00BD1798" w:rsidRPr="002E6552">
        <w:rPr>
          <w:i/>
          <w:noProof/>
        </w:rPr>
        <w:t>AF</w:t>
      </w:r>
      <w:r w:rsidR="00BD1798" w:rsidRPr="002E6552">
        <w:rPr>
          <w:noProof/>
        </w:rPr>
        <w:t xml:space="preserve">). Kasvualade valimisel lähtus </w:t>
      </w:r>
      <w:r w:rsidR="00BD1798">
        <w:rPr>
          <w:noProof/>
        </w:rPr>
        <w:t xml:space="preserve">AF </w:t>
      </w:r>
      <w:r w:rsidR="00BD1798" w:rsidRPr="002E6552">
        <w:rPr>
          <w:noProof/>
        </w:rPr>
        <w:t>Eesti majanduse ja teadu</w:t>
      </w:r>
      <w:r w:rsidR="00862F1C">
        <w:rPr>
          <w:noProof/>
        </w:rPr>
        <w:t>se tänastest</w:t>
      </w:r>
      <w:r w:rsidR="00BD1798">
        <w:rPr>
          <w:noProof/>
        </w:rPr>
        <w:t xml:space="preserve"> tugevustest</w:t>
      </w:r>
      <w:r w:rsidR="00BD1798" w:rsidRPr="002E6552">
        <w:rPr>
          <w:noProof/>
        </w:rPr>
        <w:t xml:space="preserve"> ning olulisteks võtmesõnadeks olid siin ettevõtlik avastusprotsess ja maailma majanduse trendid.</w:t>
      </w:r>
      <w:r w:rsidR="00BD1798" w:rsidRPr="00592E0A">
        <w:rPr>
          <w:noProof/>
        </w:rPr>
        <w:t xml:space="preserve"> </w:t>
      </w:r>
      <w:r w:rsidR="00BD1798" w:rsidRPr="002E6552">
        <w:rPr>
          <w:noProof/>
        </w:rPr>
        <w:t>Otsiti valdkondi, kus on tugev potentsiaal ettevõtluse ja teaduse koostööks.</w:t>
      </w:r>
    </w:p>
    <w:p w14:paraId="5C565CF6" w14:textId="77777777" w:rsidR="000371AD" w:rsidRDefault="000371AD" w:rsidP="00433BDE">
      <w:pPr>
        <w:jc w:val="both"/>
        <w:rPr>
          <w:noProof/>
        </w:rPr>
      </w:pPr>
    </w:p>
    <w:p w14:paraId="783932F0" w14:textId="77777777" w:rsidR="000371AD" w:rsidRPr="002E6552" w:rsidRDefault="000371AD" w:rsidP="00433BDE">
      <w:pPr>
        <w:jc w:val="both"/>
        <w:rPr>
          <w:noProof/>
        </w:rPr>
      </w:pPr>
      <w:r w:rsidRPr="002E6552">
        <w:rPr>
          <w:noProof/>
        </w:rPr>
        <w:t>Vastavalt AFi</w:t>
      </w:r>
      <w:r w:rsidRPr="002E6552">
        <w:rPr>
          <w:rStyle w:val="FootnoteReference"/>
          <w:noProof/>
        </w:rPr>
        <w:footnoteReference w:id="5"/>
      </w:r>
      <w:r w:rsidRPr="002E6552">
        <w:rPr>
          <w:noProof/>
        </w:rPr>
        <w:t xml:space="preserve"> uuringule on Eesti nutika spetsialiseerumise kasvualad:</w:t>
      </w:r>
    </w:p>
    <w:p w14:paraId="45641EC4" w14:textId="77777777" w:rsidR="000371AD" w:rsidRPr="002E6552" w:rsidRDefault="000371AD" w:rsidP="00433BDE">
      <w:pPr>
        <w:pStyle w:val="ListParagraph"/>
        <w:numPr>
          <w:ilvl w:val="0"/>
          <w:numId w:val="8"/>
        </w:numPr>
        <w:spacing w:line="240" w:lineRule="auto"/>
        <w:jc w:val="both"/>
        <w:rPr>
          <w:rFonts w:ascii="Times New Roman" w:hAnsi="Times New Roman"/>
          <w:noProof/>
          <w:sz w:val="24"/>
          <w:szCs w:val="24"/>
        </w:rPr>
      </w:pPr>
      <w:r w:rsidRPr="002E6552">
        <w:rPr>
          <w:rFonts w:ascii="Times New Roman" w:hAnsi="Times New Roman"/>
          <w:noProof/>
          <w:sz w:val="24"/>
          <w:szCs w:val="24"/>
        </w:rPr>
        <w:t>Info- ja kommunikatsioonitehnoloogia (IKT) horiso</w:t>
      </w:r>
      <w:r>
        <w:rPr>
          <w:rFonts w:ascii="Times New Roman" w:hAnsi="Times New Roman"/>
          <w:noProof/>
          <w:sz w:val="24"/>
          <w:szCs w:val="24"/>
        </w:rPr>
        <w:t>ntaalselt läbi teiste sektorite</w:t>
      </w:r>
      <w:r w:rsidRPr="002E6552">
        <w:rPr>
          <w:rFonts w:ascii="Times New Roman" w:hAnsi="Times New Roman"/>
          <w:noProof/>
          <w:sz w:val="24"/>
          <w:szCs w:val="24"/>
        </w:rPr>
        <w:t>.</w:t>
      </w:r>
    </w:p>
    <w:p w14:paraId="2CFD2F87" w14:textId="77777777" w:rsidR="000371AD" w:rsidRPr="002E6552" w:rsidRDefault="000371AD" w:rsidP="00433BDE">
      <w:pPr>
        <w:pStyle w:val="ListParagraph"/>
        <w:numPr>
          <w:ilvl w:val="0"/>
          <w:numId w:val="8"/>
        </w:numPr>
        <w:spacing w:line="240" w:lineRule="auto"/>
        <w:jc w:val="both"/>
        <w:rPr>
          <w:rFonts w:ascii="Times New Roman" w:hAnsi="Times New Roman"/>
          <w:noProof/>
          <w:sz w:val="24"/>
          <w:szCs w:val="24"/>
        </w:rPr>
      </w:pPr>
      <w:r w:rsidRPr="002E6552">
        <w:rPr>
          <w:rFonts w:ascii="Times New Roman" w:hAnsi="Times New Roman"/>
          <w:noProof/>
          <w:sz w:val="24"/>
          <w:szCs w:val="24"/>
        </w:rPr>
        <w:t>Tervisetehnoloogiad ja –teenused.</w:t>
      </w:r>
    </w:p>
    <w:p w14:paraId="08151E38" w14:textId="77777777" w:rsidR="000371AD" w:rsidRPr="002E6552" w:rsidRDefault="000371AD" w:rsidP="00433BDE">
      <w:pPr>
        <w:pStyle w:val="ListParagraph"/>
        <w:numPr>
          <w:ilvl w:val="0"/>
          <w:numId w:val="8"/>
        </w:numPr>
        <w:spacing w:line="240" w:lineRule="auto"/>
        <w:jc w:val="both"/>
        <w:rPr>
          <w:rFonts w:ascii="Times New Roman" w:hAnsi="Times New Roman"/>
          <w:noProof/>
          <w:sz w:val="24"/>
          <w:szCs w:val="24"/>
        </w:rPr>
      </w:pPr>
      <w:r w:rsidRPr="002E6552">
        <w:rPr>
          <w:rFonts w:ascii="Times New Roman" w:hAnsi="Times New Roman"/>
          <w:noProof/>
          <w:sz w:val="24"/>
          <w:szCs w:val="24"/>
        </w:rPr>
        <w:t>Res</w:t>
      </w:r>
      <w:r>
        <w:rPr>
          <w:rFonts w:ascii="Times New Roman" w:hAnsi="Times New Roman"/>
          <w:noProof/>
          <w:sz w:val="24"/>
          <w:szCs w:val="24"/>
        </w:rPr>
        <w:t>sursside efektiivsem kasutamine</w:t>
      </w:r>
      <w:r w:rsidRPr="002E6552">
        <w:rPr>
          <w:rFonts w:ascii="Times New Roman" w:hAnsi="Times New Roman"/>
          <w:noProof/>
          <w:sz w:val="24"/>
          <w:szCs w:val="24"/>
        </w:rPr>
        <w:t xml:space="preserve">. </w:t>
      </w:r>
    </w:p>
    <w:p w14:paraId="2D350B75" w14:textId="58110502" w:rsidR="00584490" w:rsidRDefault="00584490" w:rsidP="00433BDE">
      <w:pPr>
        <w:jc w:val="both"/>
        <w:rPr>
          <w:lang w:eastAsia="et-EE"/>
        </w:rPr>
      </w:pPr>
      <w:r>
        <w:rPr>
          <w:lang w:eastAsia="et-EE"/>
        </w:rPr>
        <w:t>Siinkohal tuleb rõhutada, et nutika spetsialiseerumise kasvualade määramine on avatud protsess ja vastavalt ettevõt</w:t>
      </w:r>
      <w:r w:rsidR="00E05E26">
        <w:rPr>
          <w:lang w:eastAsia="et-EE"/>
        </w:rPr>
        <w:t xml:space="preserve">etes ja kogu majanduses toimuvatele </w:t>
      </w:r>
      <w:r>
        <w:rPr>
          <w:lang w:eastAsia="et-EE"/>
        </w:rPr>
        <w:t xml:space="preserve">muutustele võivad </w:t>
      </w:r>
      <w:r w:rsidR="00E05E26">
        <w:rPr>
          <w:lang w:eastAsia="et-EE"/>
        </w:rPr>
        <w:t xml:space="preserve">ka </w:t>
      </w:r>
      <w:r>
        <w:rPr>
          <w:lang w:eastAsia="et-EE"/>
        </w:rPr>
        <w:t>nutika spet</w:t>
      </w:r>
      <w:r w:rsidR="007E59AF">
        <w:rPr>
          <w:lang w:eastAsia="et-EE"/>
        </w:rPr>
        <w:t>sialseerumise kasvualad muutud</w:t>
      </w:r>
      <w:r w:rsidR="004513A8">
        <w:rPr>
          <w:lang w:eastAsia="et-EE"/>
        </w:rPr>
        <w:t>a</w:t>
      </w:r>
      <w:r w:rsidR="007E59AF">
        <w:rPr>
          <w:lang w:eastAsia="et-EE"/>
        </w:rPr>
        <w:t xml:space="preserve">. </w:t>
      </w:r>
      <w:r w:rsidR="00130360">
        <w:rPr>
          <w:lang w:eastAsia="et-EE"/>
        </w:rPr>
        <w:t>AF töötab välja juhendi, mille alusel hinnatakse, kas ettevõtte arenguplaani tegevused kuuluvad n</w:t>
      </w:r>
      <w:r w:rsidR="007E59AF">
        <w:rPr>
          <w:lang w:eastAsia="et-EE"/>
        </w:rPr>
        <w:t>utika spetsialiseerumise kasvual</w:t>
      </w:r>
      <w:r w:rsidR="00130360">
        <w:rPr>
          <w:lang w:eastAsia="et-EE"/>
        </w:rPr>
        <w:t>a</w:t>
      </w:r>
      <w:r w:rsidR="007E59AF">
        <w:rPr>
          <w:lang w:eastAsia="et-EE"/>
        </w:rPr>
        <w:t xml:space="preserve">de </w:t>
      </w:r>
      <w:r w:rsidR="00130360">
        <w:rPr>
          <w:lang w:eastAsia="et-EE"/>
        </w:rPr>
        <w:t>hulka ja kas ning kuidas nutika spetsialiseerumise kasvualad aitavad ettevõtjal saavutada arenguhüpet.</w:t>
      </w:r>
      <w:r w:rsidR="004346E8">
        <w:rPr>
          <w:lang w:eastAsia="et-EE"/>
        </w:rPr>
        <w:t xml:space="preserve"> Nutika spetsialiseerumise kasvualade hindamisjuhend tehakse kättesaadavaks nii AFi kui ka rakendusüksuse kodulehel</w:t>
      </w:r>
      <w:r w:rsidR="008F5F2B">
        <w:rPr>
          <w:lang w:eastAsia="et-EE"/>
        </w:rPr>
        <w:t>.</w:t>
      </w:r>
    </w:p>
    <w:p w14:paraId="67055B6C" w14:textId="77777777" w:rsidR="00DF37E0" w:rsidRDefault="00584490" w:rsidP="00433BDE">
      <w:pPr>
        <w:jc w:val="both"/>
        <w:rPr>
          <w:lang w:eastAsia="et-EE"/>
        </w:rPr>
      </w:pPr>
      <w:r>
        <w:rPr>
          <w:lang w:eastAsia="et-EE"/>
        </w:rPr>
        <w:t xml:space="preserve"> </w:t>
      </w:r>
    </w:p>
    <w:p w14:paraId="539128DB" w14:textId="77777777" w:rsidR="00E63EF4" w:rsidRPr="002E6552" w:rsidRDefault="00E05E26" w:rsidP="00433BDE">
      <w:pPr>
        <w:jc w:val="both"/>
        <w:rPr>
          <w:lang w:eastAsia="et-EE"/>
        </w:rPr>
      </w:pPr>
      <w:r>
        <w:rPr>
          <w:lang w:eastAsia="et-EE"/>
        </w:rPr>
        <w:t>E</w:t>
      </w:r>
      <w:r w:rsidR="00E63EF4" w:rsidRPr="002E6552">
        <w:rPr>
          <w:lang w:eastAsia="et-EE"/>
        </w:rPr>
        <w:t xml:space="preserve">elnõu §-s 1 </w:t>
      </w:r>
      <w:r w:rsidR="001916B7">
        <w:rPr>
          <w:lang w:eastAsia="et-EE"/>
        </w:rPr>
        <w:t>kehtestatakse</w:t>
      </w:r>
      <w:r>
        <w:rPr>
          <w:lang w:eastAsia="et-EE"/>
        </w:rPr>
        <w:t xml:space="preserve"> ka </w:t>
      </w:r>
      <w:r w:rsidR="00E63EF4" w:rsidRPr="002E6552">
        <w:rPr>
          <w:lang w:eastAsia="et-EE"/>
        </w:rPr>
        <w:t xml:space="preserve">riigiabi </w:t>
      </w:r>
      <w:r w:rsidR="00C814F3">
        <w:rPr>
          <w:lang w:eastAsia="et-EE"/>
        </w:rPr>
        <w:t>andmisel järgitavad õiguslikud alused ja neid sätestavad dokumendid</w:t>
      </w:r>
      <w:r w:rsidR="00C71224" w:rsidRPr="002E6552">
        <w:rPr>
          <w:lang w:eastAsia="et-EE"/>
        </w:rPr>
        <w:t xml:space="preserve">. </w:t>
      </w:r>
      <w:r w:rsidR="00D610EF" w:rsidRPr="002E6552">
        <w:rPr>
          <w:lang w:eastAsia="et-EE"/>
        </w:rPr>
        <w:t xml:space="preserve">Määrusega antav toetus on </w:t>
      </w:r>
      <w:r w:rsidR="00C814F3">
        <w:rPr>
          <w:lang w:eastAsia="et-EE"/>
        </w:rPr>
        <w:t xml:space="preserve">riigiabi </w:t>
      </w:r>
      <w:r w:rsidR="00D610EF" w:rsidRPr="002E6552">
        <w:rPr>
          <w:lang w:eastAsia="et-EE"/>
        </w:rPr>
        <w:t xml:space="preserve">Euroopa Komisjoni määruse (EL) nr 651/2014 (edaspidi: </w:t>
      </w:r>
      <w:r w:rsidR="00D610EF" w:rsidRPr="002E6552">
        <w:rPr>
          <w:i/>
          <w:lang w:eastAsia="et-EE"/>
        </w:rPr>
        <w:t>üldine grupierand</w:t>
      </w:r>
      <w:r w:rsidR="003401C6" w:rsidRPr="002E6552">
        <w:rPr>
          <w:i/>
          <w:lang w:eastAsia="et-EE"/>
        </w:rPr>
        <w:t>i määrus</w:t>
      </w:r>
      <w:r w:rsidR="003401C6" w:rsidRPr="002E6552">
        <w:rPr>
          <w:lang w:eastAsia="et-EE"/>
        </w:rPr>
        <w:t xml:space="preserve">) </w:t>
      </w:r>
      <w:r w:rsidR="00C814F3">
        <w:rPr>
          <w:lang w:eastAsia="et-EE"/>
        </w:rPr>
        <w:t xml:space="preserve">mõistes </w:t>
      </w:r>
      <w:r w:rsidR="003401C6" w:rsidRPr="002E6552">
        <w:rPr>
          <w:lang w:eastAsia="et-EE"/>
        </w:rPr>
        <w:t xml:space="preserve">ja </w:t>
      </w:r>
      <w:r w:rsidR="00C814F3">
        <w:rPr>
          <w:lang w:eastAsia="et-EE"/>
        </w:rPr>
        <w:t xml:space="preserve">vähese tähtsusega abi </w:t>
      </w:r>
      <w:r w:rsidR="003401C6" w:rsidRPr="002E6552">
        <w:rPr>
          <w:lang w:eastAsia="et-EE"/>
        </w:rPr>
        <w:t xml:space="preserve">Euroopa Komisjoni määruse (EL) nr 1407/2013 (edaspidi: </w:t>
      </w:r>
      <w:r w:rsidR="003401C6" w:rsidRPr="002E6552">
        <w:rPr>
          <w:i/>
          <w:lang w:eastAsia="et-EE"/>
        </w:rPr>
        <w:t>vähese tähtsusega abi määrus</w:t>
      </w:r>
      <w:r w:rsidR="003401C6" w:rsidRPr="002E6552">
        <w:rPr>
          <w:lang w:eastAsia="et-EE"/>
        </w:rPr>
        <w:t>)</w:t>
      </w:r>
      <w:r w:rsidR="00C814F3">
        <w:rPr>
          <w:lang w:eastAsia="et-EE"/>
        </w:rPr>
        <w:t xml:space="preserve"> mõistes</w:t>
      </w:r>
      <w:r w:rsidR="003401C6" w:rsidRPr="002E6552">
        <w:rPr>
          <w:lang w:eastAsia="et-EE"/>
        </w:rPr>
        <w:t>.</w:t>
      </w:r>
      <w:r w:rsidR="003401C6" w:rsidRPr="002E6552">
        <w:rPr>
          <w:i/>
          <w:lang w:eastAsia="et-EE"/>
        </w:rPr>
        <w:t xml:space="preserve"> </w:t>
      </w:r>
      <w:r w:rsidR="00953C06" w:rsidRPr="002E6552">
        <w:rPr>
          <w:lang w:eastAsia="et-EE"/>
        </w:rPr>
        <w:t xml:space="preserve">Lisaks sätestatakse riigiabist lähtuvad tingimused, millal määrust ei kohaldata. </w:t>
      </w:r>
    </w:p>
    <w:p w14:paraId="02D9459C" w14:textId="77777777" w:rsidR="000E16D4" w:rsidRPr="002E6552" w:rsidRDefault="000E16D4" w:rsidP="00433BDE">
      <w:pPr>
        <w:jc w:val="both"/>
        <w:rPr>
          <w:lang w:eastAsia="et-EE"/>
        </w:rPr>
      </w:pPr>
    </w:p>
    <w:p w14:paraId="6450224C" w14:textId="77777777" w:rsidR="00337FB3" w:rsidRPr="002E6552" w:rsidRDefault="00F10C57" w:rsidP="00433BDE">
      <w:pPr>
        <w:widowControl w:val="0"/>
        <w:tabs>
          <w:tab w:val="center" w:pos="4938"/>
          <w:tab w:val="right" w:pos="9091"/>
        </w:tabs>
        <w:autoSpaceDE w:val="0"/>
        <w:jc w:val="both"/>
        <w:rPr>
          <w:rFonts w:eastAsia="Arial Unicode MS"/>
        </w:rPr>
      </w:pPr>
      <w:r w:rsidRPr="002E6552">
        <w:rPr>
          <w:rFonts w:eastAsia="Arial Unicode MS"/>
          <w:u w:val="single"/>
        </w:rPr>
        <w:t>Eelnõu § 2</w:t>
      </w:r>
      <w:r w:rsidRPr="002E6552">
        <w:rPr>
          <w:rFonts w:eastAsia="Arial Unicode MS"/>
        </w:rPr>
        <w:t xml:space="preserve"> määratleb ära toetuse andmise eesmärgid ja tulemused. </w:t>
      </w:r>
    </w:p>
    <w:p w14:paraId="7140B964" w14:textId="77777777" w:rsidR="00337FB3" w:rsidRPr="002E6552" w:rsidRDefault="00337FB3" w:rsidP="00433BDE">
      <w:pPr>
        <w:widowControl w:val="0"/>
        <w:tabs>
          <w:tab w:val="center" w:pos="4938"/>
          <w:tab w:val="right" w:pos="9091"/>
        </w:tabs>
        <w:autoSpaceDE w:val="0"/>
        <w:jc w:val="both"/>
        <w:rPr>
          <w:rFonts w:eastAsia="Arial Unicode MS"/>
        </w:rPr>
      </w:pPr>
    </w:p>
    <w:p w14:paraId="5B1524DE" w14:textId="48E996FA" w:rsidR="004C7653" w:rsidRDefault="00333E60" w:rsidP="00433BDE">
      <w:pPr>
        <w:widowControl w:val="0"/>
        <w:tabs>
          <w:tab w:val="center" w:pos="4938"/>
          <w:tab w:val="right" w:pos="9091"/>
        </w:tabs>
        <w:autoSpaceDE w:val="0"/>
        <w:jc w:val="both"/>
        <w:rPr>
          <w:rFonts w:eastAsia="Arial Unicode MS"/>
        </w:rPr>
      </w:pPr>
      <w:r>
        <w:rPr>
          <w:rFonts w:eastAsia="Arial Unicode MS"/>
        </w:rPr>
        <w:t xml:space="preserve">Eesti </w:t>
      </w:r>
      <w:r w:rsidR="001916B7">
        <w:rPr>
          <w:rFonts w:eastAsia="Arial Unicode MS"/>
        </w:rPr>
        <w:t>majanduse üheks nõrkuseks saab lugeda</w:t>
      </w:r>
      <w:r w:rsidR="00B205F3">
        <w:rPr>
          <w:rFonts w:eastAsia="Arial Unicode MS"/>
        </w:rPr>
        <w:t xml:space="preserve"> asjaolu, et Eesti ettevõtted paiknevad rahvusvahelises võrdluses pigem väärtusahelate</w:t>
      </w:r>
      <w:r w:rsidR="0019719D">
        <w:rPr>
          <w:rFonts w:eastAsia="Arial Unicode MS"/>
        </w:rPr>
        <w:t xml:space="preserve"> alumises osas</w:t>
      </w:r>
      <w:r w:rsidR="007D1DB5">
        <w:rPr>
          <w:rFonts w:eastAsia="Arial Unicode MS"/>
        </w:rPr>
        <w:t>,</w:t>
      </w:r>
      <w:r w:rsidR="0019719D">
        <w:rPr>
          <w:rFonts w:eastAsia="Arial Unicode MS"/>
        </w:rPr>
        <w:t xml:space="preserve"> </w:t>
      </w:r>
      <w:r w:rsidR="007D1DB5">
        <w:rPr>
          <w:rFonts w:eastAsia="Arial Unicode MS"/>
        </w:rPr>
        <w:t>o</w:t>
      </w:r>
      <w:r w:rsidR="0019719D">
        <w:rPr>
          <w:rFonts w:eastAsia="Arial Unicode MS"/>
        </w:rPr>
        <w:t>lles peamiselt</w:t>
      </w:r>
      <w:r w:rsidR="00B205F3">
        <w:rPr>
          <w:rFonts w:eastAsia="Arial Unicode MS"/>
        </w:rPr>
        <w:t xml:space="preserve"> </w:t>
      </w:r>
      <w:r w:rsidR="001916B7">
        <w:rPr>
          <w:rFonts w:eastAsia="Arial Unicode MS"/>
        </w:rPr>
        <w:t xml:space="preserve">piiratud arvule klientidele, </w:t>
      </w:r>
      <w:r w:rsidR="00B205F3">
        <w:rPr>
          <w:rFonts w:eastAsia="Arial Unicode MS"/>
        </w:rPr>
        <w:t>kas</w:t>
      </w:r>
      <w:r w:rsidR="00024ACC">
        <w:rPr>
          <w:rFonts w:eastAsia="Arial Unicode MS"/>
        </w:rPr>
        <w:t xml:space="preserve"> odava allhanke</w:t>
      </w:r>
      <w:r w:rsidR="00B205F3">
        <w:rPr>
          <w:rFonts w:eastAsia="Arial Unicode MS"/>
        </w:rPr>
        <w:t xml:space="preserve"> või lihtsate tootete ja teenuste pakkujad. </w:t>
      </w:r>
      <w:r w:rsidR="00024ACC">
        <w:rPr>
          <w:rFonts w:eastAsia="Arial Unicode MS"/>
        </w:rPr>
        <w:t xml:space="preserve">Seetõttu </w:t>
      </w:r>
      <w:r w:rsidR="00024ACC">
        <w:rPr>
          <w:rFonts w:eastAsia="Arial Unicode MS"/>
        </w:rPr>
        <w:lastRenderedPageBreak/>
        <w:t xml:space="preserve">sõltub Eesti ettevõtjate majanduslik edukus paljudel juhtudel, kas lõpptoote tootja või mõne kliendi käekäigust. Teisisõnu, </w:t>
      </w:r>
      <w:r w:rsidR="004C7653">
        <w:rPr>
          <w:rFonts w:eastAsia="Arial Unicode MS"/>
        </w:rPr>
        <w:t xml:space="preserve">Eesti ettevõtja võib sattuda raskustesse või olla majanduslikult väheedukas ka otseselt temast endast mittesõltuvatel põhjustel. </w:t>
      </w:r>
    </w:p>
    <w:p w14:paraId="55343615" w14:textId="77777777" w:rsidR="004C7653" w:rsidRDefault="004C7653" w:rsidP="00433BDE">
      <w:pPr>
        <w:widowControl w:val="0"/>
        <w:tabs>
          <w:tab w:val="center" w:pos="4938"/>
          <w:tab w:val="right" w:pos="9091"/>
        </w:tabs>
        <w:autoSpaceDE w:val="0"/>
        <w:jc w:val="both"/>
        <w:rPr>
          <w:rFonts w:eastAsia="Arial Unicode MS"/>
        </w:rPr>
      </w:pPr>
    </w:p>
    <w:p w14:paraId="4F0BB0E0" w14:textId="76F1A7E4" w:rsidR="00B205F3" w:rsidRDefault="004C7653" w:rsidP="00433BDE">
      <w:pPr>
        <w:widowControl w:val="0"/>
        <w:tabs>
          <w:tab w:val="center" w:pos="4938"/>
          <w:tab w:val="right" w:pos="9091"/>
        </w:tabs>
        <w:autoSpaceDE w:val="0"/>
        <w:jc w:val="both"/>
        <w:rPr>
          <w:rFonts w:eastAsia="Arial Unicode MS"/>
        </w:rPr>
      </w:pPr>
      <w:r>
        <w:rPr>
          <w:rFonts w:eastAsia="Arial Unicode MS"/>
        </w:rPr>
        <w:t xml:space="preserve">Lähtudes eelöeldust on oluline, et Eesti ettevõtjad tõuseksid väärtusahelates, muutuksid </w:t>
      </w:r>
      <w:r w:rsidR="001916B7">
        <w:rPr>
          <w:rFonts w:eastAsia="Arial Unicode MS"/>
        </w:rPr>
        <w:t xml:space="preserve">ise </w:t>
      </w:r>
      <w:r>
        <w:rPr>
          <w:rFonts w:eastAsia="Arial Unicode MS"/>
        </w:rPr>
        <w:t xml:space="preserve">keerukamate ja targemate tegevuste läbiviijateks, kelle tooteportfell sisaldab </w:t>
      </w:r>
      <w:r w:rsidR="004500C3">
        <w:rPr>
          <w:rFonts w:eastAsia="Arial Unicode MS"/>
        </w:rPr>
        <w:t xml:space="preserve">rahvusvaheliselt nõutud </w:t>
      </w:r>
      <w:r>
        <w:rPr>
          <w:rFonts w:eastAsia="Arial Unicode MS"/>
        </w:rPr>
        <w:t xml:space="preserve">uuenduslikke ja kõrge lisandväärtusega tooteid ja teenuseid. </w:t>
      </w:r>
      <w:r w:rsidR="004500C3">
        <w:rPr>
          <w:rFonts w:eastAsia="Arial Unicode MS"/>
        </w:rPr>
        <w:t xml:space="preserve">Nimetatud muutuse eeltingimuseks on ettevõtja enda ambitsioon ehk soov </w:t>
      </w:r>
      <w:r>
        <w:rPr>
          <w:rFonts w:eastAsia="Arial Unicode MS"/>
        </w:rPr>
        <w:t xml:space="preserve"> </w:t>
      </w:r>
      <w:r w:rsidR="004500C3">
        <w:rPr>
          <w:rFonts w:eastAsia="Arial Unicode MS"/>
        </w:rPr>
        <w:t>ja valmisolek muuta oma tänast ärimudelit keerukamaks</w:t>
      </w:r>
      <w:r w:rsidR="009D3DF7">
        <w:rPr>
          <w:rFonts w:eastAsia="Arial Unicode MS"/>
        </w:rPr>
        <w:t>, lisada uusi ärisuundi, jne</w:t>
      </w:r>
      <w:r w:rsidR="004500C3">
        <w:rPr>
          <w:rFonts w:eastAsia="Arial Unicode MS"/>
        </w:rPr>
        <w:t xml:space="preserve">. </w:t>
      </w:r>
      <w:r w:rsidR="001916B7">
        <w:rPr>
          <w:rFonts w:eastAsia="Arial Unicode MS"/>
        </w:rPr>
        <w:t xml:space="preserve">Juhul kui ettevõtjal on olemas ambitsioon, siis alles järgmise </w:t>
      </w:r>
      <w:r w:rsidR="004500C3">
        <w:rPr>
          <w:rFonts w:eastAsia="Arial Unicode MS"/>
        </w:rPr>
        <w:t xml:space="preserve">osana </w:t>
      </w:r>
      <w:r w:rsidR="001916B7">
        <w:rPr>
          <w:rFonts w:eastAsia="Arial Unicode MS"/>
        </w:rPr>
        <w:t xml:space="preserve">on võimalik </w:t>
      </w:r>
      <w:r w:rsidR="004500C3">
        <w:rPr>
          <w:rFonts w:eastAsia="Arial Unicode MS"/>
        </w:rPr>
        <w:t>koostada pikaajaline</w:t>
      </w:r>
      <w:r w:rsidR="001916B7">
        <w:rPr>
          <w:rFonts w:eastAsia="Arial Unicode MS"/>
        </w:rPr>
        <w:t xml:space="preserve"> </w:t>
      </w:r>
      <w:r w:rsidR="000E4F7B">
        <w:rPr>
          <w:rFonts w:eastAsia="Arial Unicode MS"/>
        </w:rPr>
        <w:t>tegevuskava.</w:t>
      </w:r>
    </w:p>
    <w:p w14:paraId="0E8D54C6" w14:textId="77777777" w:rsidR="00B205F3" w:rsidRDefault="00B205F3" w:rsidP="00433BDE">
      <w:pPr>
        <w:widowControl w:val="0"/>
        <w:tabs>
          <w:tab w:val="center" w:pos="4938"/>
          <w:tab w:val="right" w:pos="9091"/>
        </w:tabs>
        <w:autoSpaceDE w:val="0"/>
        <w:jc w:val="both"/>
        <w:rPr>
          <w:rFonts w:eastAsia="Arial Unicode MS"/>
        </w:rPr>
      </w:pPr>
    </w:p>
    <w:p w14:paraId="5EF9E9C6" w14:textId="77777777" w:rsidR="00EE603B" w:rsidRPr="00EE603B" w:rsidRDefault="00B205F3" w:rsidP="00433BDE">
      <w:pPr>
        <w:widowControl w:val="0"/>
        <w:tabs>
          <w:tab w:val="center" w:pos="4938"/>
          <w:tab w:val="right" w:pos="9091"/>
        </w:tabs>
        <w:autoSpaceDE w:val="0"/>
        <w:jc w:val="both"/>
        <w:rPr>
          <w:rFonts w:eastAsia="Arial Unicode MS"/>
        </w:rPr>
      </w:pPr>
      <w:r>
        <w:rPr>
          <w:rFonts w:eastAsia="Arial Unicode MS"/>
        </w:rPr>
        <w:t xml:space="preserve">Sellest tulenevalt on sõnastatud </w:t>
      </w:r>
      <w:r w:rsidR="000E4F7B">
        <w:rPr>
          <w:rFonts w:eastAsia="Arial Unicode MS"/>
        </w:rPr>
        <w:t>toetuse andmise eesmärgikideks</w:t>
      </w:r>
      <w:r w:rsidR="001916B7">
        <w:rPr>
          <w:rFonts w:eastAsia="Arial Unicode MS"/>
        </w:rPr>
        <w:t>:</w:t>
      </w:r>
    </w:p>
    <w:p w14:paraId="348A3376" w14:textId="77777777" w:rsidR="00EE603B" w:rsidRPr="000E4F7B" w:rsidRDefault="00EE603B" w:rsidP="00433BDE">
      <w:pPr>
        <w:pStyle w:val="ListParagraph"/>
        <w:widowControl w:val="0"/>
        <w:numPr>
          <w:ilvl w:val="0"/>
          <w:numId w:val="30"/>
        </w:numPr>
        <w:tabs>
          <w:tab w:val="center" w:pos="4938"/>
          <w:tab w:val="right" w:pos="9091"/>
        </w:tabs>
        <w:autoSpaceDE w:val="0"/>
        <w:spacing w:line="240" w:lineRule="auto"/>
        <w:jc w:val="both"/>
        <w:rPr>
          <w:rFonts w:ascii="Times New Roman" w:eastAsia="Arial Unicode MS" w:hAnsi="Times New Roman"/>
          <w:sz w:val="24"/>
          <w:szCs w:val="24"/>
        </w:rPr>
      </w:pPr>
      <w:r w:rsidRPr="000E4F7B">
        <w:rPr>
          <w:rFonts w:ascii="Times New Roman" w:eastAsia="Arial Unicode MS" w:hAnsi="Times New Roman"/>
          <w:sz w:val="24"/>
          <w:szCs w:val="24"/>
        </w:rPr>
        <w:t>ettevõtja pikaajalisel strateegilisel planeerimisel põhineva rahvusvahelise konkurentsivõime tõstmine;</w:t>
      </w:r>
    </w:p>
    <w:p w14:paraId="34E50A3D" w14:textId="77777777" w:rsidR="00337FB3" w:rsidRDefault="00EE603B" w:rsidP="00433BDE">
      <w:pPr>
        <w:pStyle w:val="ListParagraph"/>
        <w:widowControl w:val="0"/>
        <w:numPr>
          <w:ilvl w:val="0"/>
          <w:numId w:val="30"/>
        </w:numPr>
        <w:tabs>
          <w:tab w:val="center" w:pos="4938"/>
          <w:tab w:val="right" w:pos="9091"/>
        </w:tabs>
        <w:autoSpaceDE w:val="0"/>
        <w:spacing w:line="240" w:lineRule="auto"/>
        <w:jc w:val="both"/>
        <w:rPr>
          <w:rFonts w:ascii="Times New Roman" w:eastAsia="Arial Unicode MS" w:hAnsi="Times New Roman"/>
          <w:sz w:val="24"/>
          <w:szCs w:val="24"/>
        </w:rPr>
      </w:pPr>
      <w:r w:rsidRPr="000E4F7B">
        <w:rPr>
          <w:rFonts w:ascii="Times New Roman" w:eastAsia="Arial Unicode MS" w:hAnsi="Times New Roman"/>
          <w:sz w:val="24"/>
          <w:szCs w:val="24"/>
        </w:rPr>
        <w:t>ettevõtja üleminek senisest nutikamale tegevustele ja sellega kaasnev majandustulemuste paranemine.</w:t>
      </w:r>
    </w:p>
    <w:p w14:paraId="51C68DDE" w14:textId="2A9738DA" w:rsidR="00197FF0" w:rsidRDefault="001916B7" w:rsidP="00D75E47">
      <w:pPr>
        <w:widowControl w:val="0"/>
        <w:tabs>
          <w:tab w:val="center" w:pos="4938"/>
          <w:tab w:val="right" w:pos="9091"/>
        </w:tabs>
        <w:autoSpaceDE w:val="0"/>
        <w:jc w:val="both"/>
        <w:rPr>
          <w:rFonts w:eastAsia="Arial Unicode MS"/>
        </w:rPr>
      </w:pPr>
      <w:r>
        <w:rPr>
          <w:rFonts w:eastAsia="Arial Unicode MS"/>
        </w:rPr>
        <w:t>M</w:t>
      </w:r>
      <w:r w:rsidR="000E4F7B">
        <w:rPr>
          <w:rFonts w:eastAsia="Arial Unicode MS"/>
        </w:rPr>
        <w:t xml:space="preserve">ääruse eelnõus </w:t>
      </w:r>
      <w:r>
        <w:rPr>
          <w:rFonts w:eastAsia="Arial Unicode MS"/>
        </w:rPr>
        <w:t xml:space="preserve">on välja toodud </w:t>
      </w:r>
      <w:r w:rsidR="000E4F7B">
        <w:rPr>
          <w:rFonts w:eastAsia="Arial Unicode MS"/>
        </w:rPr>
        <w:t>toetuse alamees</w:t>
      </w:r>
      <w:r w:rsidR="00B34FD9">
        <w:rPr>
          <w:rFonts w:eastAsia="Arial Unicode MS"/>
        </w:rPr>
        <w:t>märkidena need muutused</w:t>
      </w:r>
      <w:r w:rsidR="000E4F7B">
        <w:rPr>
          <w:rFonts w:eastAsia="Arial Unicode MS"/>
        </w:rPr>
        <w:t>,</w:t>
      </w:r>
      <w:r>
        <w:rPr>
          <w:rFonts w:eastAsia="Arial Unicode MS"/>
        </w:rPr>
        <w:t xml:space="preserve"> mis toetuse kaasabil peaksid</w:t>
      </w:r>
      <w:r w:rsidR="00197FF0">
        <w:rPr>
          <w:rFonts w:eastAsia="Arial Unicode MS"/>
        </w:rPr>
        <w:t xml:space="preserve"> ettevõtete tegevuses tekkima. Muutused</w:t>
      </w:r>
      <w:r w:rsidR="00A01B0D">
        <w:rPr>
          <w:rFonts w:eastAsia="Arial Unicode MS"/>
        </w:rPr>
        <w:t>,</w:t>
      </w:r>
      <w:r w:rsidR="00197FF0">
        <w:rPr>
          <w:rFonts w:eastAsia="Arial Unicode MS"/>
        </w:rPr>
        <w:t xml:space="preserve"> </w:t>
      </w:r>
      <w:r w:rsidR="00B34FD9">
        <w:rPr>
          <w:rFonts w:eastAsia="Arial Unicode MS"/>
        </w:rPr>
        <w:t xml:space="preserve">mis otseselt loovad eeldused ettevõtete üleminekuks keerukamatele ja nutikamatele tegevustele ning tõusule väärtusahelas. </w:t>
      </w:r>
    </w:p>
    <w:p w14:paraId="493D50F8" w14:textId="066CC92F" w:rsidR="00B34FD9" w:rsidRDefault="00B34FD9">
      <w:pPr>
        <w:widowControl w:val="0"/>
        <w:tabs>
          <w:tab w:val="center" w:pos="4938"/>
          <w:tab w:val="right" w:pos="9091"/>
        </w:tabs>
        <w:autoSpaceDE w:val="0"/>
        <w:jc w:val="both"/>
        <w:rPr>
          <w:rFonts w:eastAsia="Arial Unicode MS"/>
        </w:rPr>
      </w:pPr>
      <w:r>
        <w:rPr>
          <w:rFonts w:eastAsia="Arial Unicode MS"/>
        </w:rPr>
        <w:t>Toetuse andmise alameesmärkideks on:</w:t>
      </w:r>
    </w:p>
    <w:p w14:paraId="50581355" w14:textId="77777777" w:rsidR="00B34FD9" w:rsidRPr="00B34FD9" w:rsidRDefault="00B34FD9" w:rsidP="00433BDE">
      <w:pPr>
        <w:pStyle w:val="ListParagraph"/>
        <w:widowControl w:val="0"/>
        <w:numPr>
          <w:ilvl w:val="0"/>
          <w:numId w:val="31"/>
        </w:numPr>
        <w:tabs>
          <w:tab w:val="center" w:pos="4938"/>
          <w:tab w:val="right" w:pos="9091"/>
        </w:tabs>
        <w:autoSpaceDE w:val="0"/>
        <w:spacing w:line="240" w:lineRule="auto"/>
        <w:jc w:val="both"/>
        <w:rPr>
          <w:rFonts w:ascii="Times New Roman" w:eastAsia="Arial Unicode MS" w:hAnsi="Times New Roman"/>
          <w:sz w:val="24"/>
          <w:szCs w:val="24"/>
        </w:rPr>
      </w:pPr>
      <w:r w:rsidRPr="00B34FD9">
        <w:rPr>
          <w:rFonts w:ascii="Times New Roman" w:eastAsia="Arial Unicode MS" w:hAnsi="Times New Roman"/>
          <w:sz w:val="24"/>
          <w:szCs w:val="24"/>
        </w:rPr>
        <w:t>ettevõtja uue ja senisest kõrgemat lisandväärtust loova ärimudeli rakendamine;</w:t>
      </w:r>
    </w:p>
    <w:p w14:paraId="5DEA8A87" w14:textId="77777777" w:rsidR="00B34FD9" w:rsidRPr="00B34FD9" w:rsidRDefault="00B34FD9" w:rsidP="00433BDE">
      <w:pPr>
        <w:pStyle w:val="ListParagraph"/>
        <w:widowControl w:val="0"/>
        <w:numPr>
          <w:ilvl w:val="0"/>
          <w:numId w:val="31"/>
        </w:numPr>
        <w:tabs>
          <w:tab w:val="center" w:pos="4938"/>
          <w:tab w:val="right" w:pos="9091"/>
        </w:tabs>
        <w:autoSpaceDE w:val="0"/>
        <w:spacing w:line="240" w:lineRule="auto"/>
        <w:jc w:val="both"/>
        <w:rPr>
          <w:rFonts w:ascii="Times New Roman" w:eastAsia="Arial Unicode MS" w:hAnsi="Times New Roman"/>
          <w:sz w:val="24"/>
          <w:szCs w:val="24"/>
        </w:rPr>
      </w:pPr>
      <w:r w:rsidRPr="00B34FD9">
        <w:rPr>
          <w:rFonts w:ascii="Times New Roman" w:eastAsia="Arial Unicode MS" w:hAnsi="Times New Roman"/>
          <w:sz w:val="24"/>
          <w:szCs w:val="24"/>
        </w:rPr>
        <w:t xml:space="preserve">ettevõtja uute ja senisest kõrgema lisandväärtusega toodete, teenuste, tehnoloogiate väljaarendamine ja turule viimine; </w:t>
      </w:r>
    </w:p>
    <w:p w14:paraId="09D15768" w14:textId="77777777" w:rsidR="00B34FD9" w:rsidRPr="00B34FD9" w:rsidRDefault="00B34FD9" w:rsidP="00433BDE">
      <w:pPr>
        <w:pStyle w:val="ListParagraph"/>
        <w:widowControl w:val="0"/>
        <w:numPr>
          <w:ilvl w:val="0"/>
          <w:numId w:val="31"/>
        </w:numPr>
        <w:tabs>
          <w:tab w:val="center" w:pos="4938"/>
          <w:tab w:val="right" w:pos="9091"/>
        </w:tabs>
        <w:autoSpaceDE w:val="0"/>
        <w:spacing w:line="240" w:lineRule="auto"/>
        <w:jc w:val="both"/>
        <w:rPr>
          <w:rFonts w:ascii="Times New Roman" w:eastAsia="Arial Unicode MS" w:hAnsi="Times New Roman"/>
          <w:sz w:val="24"/>
          <w:szCs w:val="24"/>
        </w:rPr>
      </w:pPr>
      <w:r w:rsidRPr="00B34FD9">
        <w:rPr>
          <w:rFonts w:ascii="Times New Roman" w:eastAsia="Arial Unicode MS" w:hAnsi="Times New Roman"/>
          <w:sz w:val="24"/>
          <w:szCs w:val="24"/>
        </w:rPr>
        <w:t>ettevõtja uute ja senisest kõrgema lisandväärtusega toodete ja  teenustega seotud protsesside</w:t>
      </w:r>
      <w:r>
        <w:rPr>
          <w:rFonts w:ascii="Times New Roman" w:eastAsia="Arial Unicode MS" w:hAnsi="Times New Roman"/>
          <w:sz w:val="24"/>
          <w:szCs w:val="24"/>
        </w:rPr>
        <w:t xml:space="preserve"> arendamine ja rakendamine.</w:t>
      </w:r>
    </w:p>
    <w:p w14:paraId="3F12D5A5" w14:textId="3229BAF4" w:rsidR="00CF2164" w:rsidRPr="002E6552" w:rsidRDefault="007A6D10" w:rsidP="00433BDE">
      <w:pPr>
        <w:jc w:val="both"/>
        <w:rPr>
          <w:lang w:eastAsia="et-EE"/>
        </w:rPr>
      </w:pPr>
      <w:r>
        <w:rPr>
          <w:lang w:eastAsia="et-EE"/>
        </w:rPr>
        <w:t>R</w:t>
      </w:r>
      <w:r w:rsidR="00494C88" w:rsidRPr="002E6552">
        <w:rPr>
          <w:lang w:eastAsia="et-EE"/>
        </w:rPr>
        <w:t xml:space="preserve">akenduskavas toodud meetme väljundindikaatoritele, mille täitmisse panustavad ka teised prioriteetse suuna tegevused, sätestatakse </w:t>
      </w:r>
      <w:r w:rsidR="00266D6A" w:rsidRPr="002E6552">
        <w:rPr>
          <w:lang w:eastAsia="et-EE"/>
        </w:rPr>
        <w:t xml:space="preserve">antud eelnõu paragrahvis </w:t>
      </w:r>
      <w:r w:rsidR="00494C88" w:rsidRPr="002E6552">
        <w:rPr>
          <w:lang w:eastAsia="et-EE"/>
        </w:rPr>
        <w:t>käesoleva määrusega toe</w:t>
      </w:r>
      <w:r w:rsidR="00266D6A" w:rsidRPr="002E6552">
        <w:rPr>
          <w:lang w:eastAsia="et-EE"/>
        </w:rPr>
        <w:t>tatavate tegevuste elluviimisega saavutatavad väljundid koos sihttasemetega</w:t>
      </w:r>
      <w:r w:rsidR="001A7F82">
        <w:rPr>
          <w:lang w:eastAsia="et-EE"/>
        </w:rPr>
        <w:t xml:space="preserve"> aastatel </w:t>
      </w:r>
      <w:r>
        <w:rPr>
          <w:lang w:eastAsia="et-EE"/>
        </w:rPr>
        <w:t xml:space="preserve">2016, </w:t>
      </w:r>
      <w:r w:rsidR="001A7F82">
        <w:rPr>
          <w:lang w:eastAsia="et-EE"/>
        </w:rPr>
        <w:t>2018</w:t>
      </w:r>
      <w:r>
        <w:rPr>
          <w:lang w:eastAsia="et-EE"/>
        </w:rPr>
        <w:t>, 2020 ja 2023</w:t>
      </w:r>
      <w:r w:rsidR="00266D6A" w:rsidRPr="002E6552">
        <w:rPr>
          <w:lang w:eastAsia="et-EE"/>
        </w:rPr>
        <w:t>.</w:t>
      </w:r>
    </w:p>
    <w:p w14:paraId="509B02DE" w14:textId="77777777" w:rsidR="00AA6C45" w:rsidRPr="002E6552" w:rsidRDefault="00AA6C45" w:rsidP="00433BDE">
      <w:pPr>
        <w:jc w:val="both"/>
        <w:rPr>
          <w:lang w:eastAsia="et-EE"/>
        </w:rPr>
      </w:pPr>
    </w:p>
    <w:p w14:paraId="65C9D603" w14:textId="77777777" w:rsidR="008D74A0" w:rsidRPr="002E6552" w:rsidRDefault="008F15B3" w:rsidP="00433BDE">
      <w:pPr>
        <w:jc w:val="both"/>
      </w:pPr>
      <w:r>
        <w:t>Tabel 4</w:t>
      </w:r>
      <w:r w:rsidR="001C268C">
        <w:t>. T</w:t>
      </w:r>
      <w:r w:rsidR="008D74A0" w:rsidRPr="002E6552">
        <w:t>oetuse väljundnäitajad</w:t>
      </w:r>
    </w:p>
    <w:p w14:paraId="0B24295A" w14:textId="77777777" w:rsidR="008D74A0" w:rsidRPr="002E6552" w:rsidRDefault="008D74A0" w:rsidP="00433BDE">
      <w:pPr>
        <w:jc w:val="both"/>
      </w:pPr>
    </w:p>
    <w:tbl>
      <w:tblPr>
        <w:tblStyle w:val="TableGrid"/>
        <w:tblW w:w="10377" w:type="dxa"/>
        <w:tblInd w:w="-1026" w:type="dxa"/>
        <w:tblLayout w:type="fixed"/>
        <w:tblLook w:val="04A0" w:firstRow="1" w:lastRow="0" w:firstColumn="1" w:lastColumn="0" w:noHBand="0" w:noVBand="1"/>
      </w:tblPr>
      <w:tblGrid>
        <w:gridCol w:w="2155"/>
        <w:gridCol w:w="1134"/>
        <w:gridCol w:w="1276"/>
        <w:gridCol w:w="1276"/>
        <w:gridCol w:w="1134"/>
        <w:gridCol w:w="1134"/>
        <w:gridCol w:w="1134"/>
        <w:gridCol w:w="1134"/>
      </w:tblGrid>
      <w:tr w:rsidR="008F15B3" w:rsidRPr="002E6552" w14:paraId="59B2436F" w14:textId="77777777" w:rsidTr="008F15B3">
        <w:tc>
          <w:tcPr>
            <w:tcW w:w="2155" w:type="dxa"/>
          </w:tcPr>
          <w:p w14:paraId="055329A1" w14:textId="77777777" w:rsidR="008F15B3" w:rsidRPr="002E6552" w:rsidRDefault="008F15B3" w:rsidP="00433BDE">
            <w:pPr>
              <w:jc w:val="center"/>
              <w:rPr>
                <w:b/>
              </w:rPr>
            </w:pPr>
            <w:r w:rsidRPr="002E6552">
              <w:rPr>
                <w:b/>
              </w:rPr>
              <w:t>Väljundindikaator</w:t>
            </w:r>
          </w:p>
        </w:tc>
        <w:tc>
          <w:tcPr>
            <w:tcW w:w="1134" w:type="dxa"/>
          </w:tcPr>
          <w:p w14:paraId="6270C759" w14:textId="77777777" w:rsidR="008F15B3" w:rsidRPr="002E6552" w:rsidRDefault="008F15B3" w:rsidP="00433BDE">
            <w:pPr>
              <w:jc w:val="center"/>
              <w:rPr>
                <w:b/>
              </w:rPr>
            </w:pPr>
            <w:r w:rsidRPr="002E6552">
              <w:rPr>
                <w:b/>
              </w:rPr>
              <w:t>ühik</w:t>
            </w:r>
          </w:p>
        </w:tc>
        <w:tc>
          <w:tcPr>
            <w:tcW w:w="1276" w:type="dxa"/>
          </w:tcPr>
          <w:p w14:paraId="1B9C9493" w14:textId="77777777" w:rsidR="008F15B3" w:rsidRDefault="008F15B3" w:rsidP="00433BDE">
            <w:pPr>
              <w:jc w:val="center"/>
              <w:rPr>
                <w:b/>
              </w:rPr>
            </w:pPr>
            <w:r>
              <w:rPr>
                <w:b/>
              </w:rPr>
              <w:t>a</w:t>
            </w:r>
            <w:r w:rsidRPr="002E6552">
              <w:rPr>
                <w:b/>
              </w:rPr>
              <w:t>ndme</w:t>
            </w:r>
            <w:r>
              <w:rPr>
                <w:b/>
              </w:rPr>
              <w:t>-</w:t>
            </w:r>
          </w:p>
          <w:p w14:paraId="60FC8CD0" w14:textId="77777777" w:rsidR="008F15B3" w:rsidRPr="002E6552" w:rsidRDefault="008F15B3" w:rsidP="00433BDE">
            <w:pPr>
              <w:jc w:val="center"/>
              <w:rPr>
                <w:b/>
              </w:rPr>
            </w:pPr>
            <w:r w:rsidRPr="002E6552">
              <w:rPr>
                <w:b/>
              </w:rPr>
              <w:t>allikas</w:t>
            </w:r>
          </w:p>
        </w:tc>
        <w:tc>
          <w:tcPr>
            <w:tcW w:w="1276" w:type="dxa"/>
          </w:tcPr>
          <w:p w14:paraId="53B2F75B" w14:textId="77777777" w:rsidR="008F15B3" w:rsidRDefault="008F15B3" w:rsidP="00433BDE">
            <w:pPr>
              <w:jc w:val="center"/>
              <w:rPr>
                <w:b/>
              </w:rPr>
            </w:pPr>
            <w:r>
              <w:rPr>
                <w:b/>
              </w:rPr>
              <w:t>m</w:t>
            </w:r>
            <w:r w:rsidRPr="002E6552">
              <w:rPr>
                <w:b/>
              </w:rPr>
              <w:t>õõtmis</w:t>
            </w:r>
            <w:r>
              <w:rPr>
                <w:b/>
              </w:rPr>
              <w:t>-</w:t>
            </w:r>
          </w:p>
          <w:p w14:paraId="13C83833" w14:textId="77777777" w:rsidR="008F15B3" w:rsidRPr="002E6552" w:rsidRDefault="008F15B3" w:rsidP="00433BDE">
            <w:pPr>
              <w:jc w:val="center"/>
              <w:rPr>
                <w:b/>
              </w:rPr>
            </w:pPr>
            <w:r w:rsidRPr="002E6552">
              <w:rPr>
                <w:b/>
              </w:rPr>
              <w:t>sagedus</w:t>
            </w:r>
          </w:p>
        </w:tc>
        <w:tc>
          <w:tcPr>
            <w:tcW w:w="1134" w:type="dxa"/>
          </w:tcPr>
          <w:p w14:paraId="0320C3B7" w14:textId="77777777" w:rsidR="008F15B3" w:rsidRPr="002E6552" w:rsidRDefault="008F15B3" w:rsidP="00433BDE">
            <w:pPr>
              <w:jc w:val="center"/>
              <w:rPr>
                <w:b/>
              </w:rPr>
            </w:pPr>
            <w:r>
              <w:rPr>
                <w:b/>
              </w:rPr>
              <w:t>sihttase 2016</w:t>
            </w:r>
            <w:r w:rsidRPr="002E6552">
              <w:rPr>
                <w:b/>
              </w:rPr>
              <w:t>.a</w:t>
            </w:r>
          </w:p>
        </w:tc>
        <w:tc>
          <w:tcPr>
            <w:tcW w:w="1134" w:type="dxa"/>
          </w:tcPr>
          <w:p w14:paraId="1B00E606" w14:textId="77777777" w:rsidR="008F15B3" w:rsidRDefault="008F15B3" w:rsidP="00433BDE">
            <w:pPr>
              <w:jc w:val="center"/>
              <w:rPr>
                <w:b/>
              </w:rPr>
            </w:pPr>
            <w:r>
              <w:rPr>
                <w:b/>
              </w:rPr>
              <w:t>s</w:t>
            </w:r>
            <w:r w:rsidRPr="002E6552">
              <w:rPr>
                <w:b/>
              </w:rPr>
              <w:t>iht</w:t>
            </w:r>
            <w:r>
              <w:rPr>
                <w:b/>
              </w:rPr>
              <w:t>t</w:t>
            </w:r>
            <w:r w:rsidRPr="002E6552">
              <w:rPr>
                <w:b/>
              </w:rPr>
              <w:t xml:space="preserve">ase </w:t>
            </w:r>
          </w:p>
          <w:p w14:paraId="0C8543E9" w14:textId="77777777" w:rsidR="008F15B3" w:rsidRPr="002E6552" w:rsidRDefault="008F15B3" w:rsidP="00433BDE">
            <w:pPr>
              <w:jc w:val="center"/>
              <w:rPr>
                <w:b/>
              </w:rPr>
            </w:pPr>
            <w:r>
              <w:rPr>
                <w:b/>
              </w:rPr>
              <w:t>2018.a</w:t>
            </w:r>
          </w:p>
        </w:tc>
        <w:tc>
          <w:tcPr>
            <w:tcW w:w="1134" w:type="dxa"/>
          </w:tcPr>
          <w:p w14:paraId="6F8AEFF3" w14:textId="77777777" w:rsidR="008F15B3" w:rsidRDefault="008F15B3" w:rsidP="00433BDE">
            <w:pPr>
              <w:jc w:val="center"/>
              <w:rPr>
                <w:b/>
              </w:rPr>
            </w:pPr>
            <w:r>
              <w:rPr>
                <w:b/>
              </w:rPr>
              <w:t>sihttase</w:t>
            </w:r>
          </w:p>
          <w:p w14:paraId="402420DB" w14:textId="77777777" w:rsidR="008F15B3" w:rsidRPr="002E6552" w:rsidRDefault="008F15B3" w:rsidP="00433BDE">
            <w:pPr>
              <w:jc w:val="center"/>
              <w:rPr>
                <w:b/>
              </w:rPr>
            </w:pPr>
            <w:r>
              <w:rPr>
                <w:b/>
              </w:rPr>
              <w:t>2020.a</w:t>
            </w:r>
          </w:p>
        </w:tc>
        <w:tc>
          <w:tcPr>
            <w:tcW w:w="1134" w:type="dxa"/>
          </w:tcPr>
          <w:p w14:paraId="450D5AD5" w14:textId="77777777" w:rsidR="008F15B3" w:rsidRDefault="008F15B3" w:rsidP="00433BDE">
            <w:pPr>
              <w:jc w:val="center"/>
              <w:rPr>
                <w:b/>
              </w:rPr>
            </w:pPr>
            <w:r>
              <w:rPr>
                <w:b/>
              </w:rPr>
              <w:t>sihttase</w:t>
            </w:r>
          </w:p>
          <w:p w14:paraId="2C627F16" w14:textId="77777777" w:rsidR="008F15B3" w:rsidRPr="002E6552" w:rsidRDefault="008F15B3" w:rsidP="00433BDE">
            <w:pPr>
              <w:jc w:val="center"/>
              <w:rPr>
                <w:b/>
              </w:rPr>
            </w:pPr>
            <w:r>
              <w:rPr>
                <w:b/>
              </w:rPr>
              <w:t>2023.a</w:t>
            </w:r>
          </w:p>
        </w:tc>
      </w:tr>
      <w:tr w:rsidR="008F15B3" w:rsidRPr="002E6552" w14:paraId="69621FCB" w14:textId="77777777" w:rsidTr="008F15B3">
        <w:tc>
          <w:tcPr>
            <w:tcW w:w="2155" w:type="dxa"/>
          </w:tcPr>
          <w:p w14:paraId="26D1EE5D" w14:textId="77777777" w:rsidR="008F15B3" w:rsidRPr="005C3E44" w:rsidRDefault="008F15B3" w:rsidP="004346E8">
            <w:pPr>
              <w:pStyle w:val="ListParagraph"/>
              <w:numPr>
                <w:ilvl w:val="0"/>
                <w:numId w:val="32"/>
              </w:numPr>
              <w:spacing w:line="240" w:lineRule="auto"/>
              <w:jc w:val="both"/>
              <w:rPr>
                <w:rFonts w:ascii="Times New Roman" w:hAnsi="Times New Roman"/>
                <w:sz w:val="24"/>
                <w:szCs w:val="24"/>
              </w:rPr>
            </w:pPr>
            <w:r w:rsidRPr="005C3E44">
              <w:rPr>
                <w:rFonts w:ascii="Times New Roman" w:hAnsi="Times New Roman"/>
                <w:sz w:val="24"/>
                <w:szCs w:val="24"/>
              </w:rPr>
              <w:t>Abi saavate ettevõtete arv (kokku).</w:t>
            </w:r>
          </w:p>
        </w:tc>
        <w:tc>
          <w:tcPr>
            <w:tcW w:w="1134" w:type="dxa"/>
          </w:tcPr>
          <w:p w14:paraId="5EB234FC" w14:textId="77777777" w:rsidR="005C3E44" w:rsidRDefault="005C3E44" w:rsidP="004346E8">
            <w:pPr>
              <w:jc w:val="center"/>
            </w:pPr>
          </w:p>
          <w:p w14:paraId="75A78128" w14:textId="77777777" w:rsidR="008F15B3" w:rsidRPr="002E6552" w:rsidRDefault="008F15B3" w:rsidP="004346E8">
            <w:pPr>
              <w:jc w:val="center"/>
            </w:pPr>
            <w:r w:rsidRPr="002E6552">
              <w:t>ettevõte</w:t>
            </w:r>
          </w:p>
        </w:tc>
        <w:tc>
          <w:tcPr>
            <w:tcW w:w="1276" w:type="dxa"/>
          </w:tcPr>
          <w:p w14:paraId="3612E507" w14:textId="77777777" w:rsidR="005C3E44" w:rsidRDefault="005C3E44" w:rsidP="004346E8">
            <w:pPr>
              <w:jc w:val="center"/>
            </w:pPr>
          </w:p>
          <w:p w14:paraId="0DE8FD03" w14:textId="77777777" w:rsidR="008F15B3" w:rsidRDefault="008F15B3" w:rsidP="004346E8">
            <w:pPr>
              <w:jc w:val="center"/>
            </w:pPr>
            <w:r>
              <w:t>r</w:t>
            </w:r>
            <w:r w:rsidRPr="002E6552">
              <w:t>akendus</w:t>
            </w:r>
            <w:r>
              <w:t>-</w:t>
            </w:r>
          </w:p>
          <w:p w14:paraId="3E3F09CC" w14:textId="77777777" w:rsidR="008F15B3" w:rsidRPr="002E6552" w:rsidRDefault="008F15B3" w:rsidP="004346E8">
            <w:pPr>
              <w:jc w:val="center"/>
            </w:pPr>
            <w:r w:rsidRPr="002E6552">
              <w:t>üksus</w:t>
            </w:r>
          </w:p>
        </w:tc>
        <w:tc>
          <w:tcPr>
            <w:tcW w:w="1276" w:type="dxa"/>
          </w:tcPr>
          <w:p w14:paraId="1367A94F" w14:textId="77777777" w:rsidR="005C3E44" w:rsidRDefault="005C3E44" w:rsidP="004346E8">
            <w:pPr>
              <w:jc w:val="center"/>
            </w:pPr>
          </w:p>
          <w:p w14:paraId="0AD6F925" w14:textId="77777777" w:rsidR="008F15B3" w:rsidRPr="002E6552" w:rsidRDefault="008F15B3" w:rsidP="004346E8">
            <w:pPr>
              <w:jc w:val="center"/>
            </w:pPr>
            <w:r w:rsidRPr="002E6552">
              <w:t>kord aastas</w:t>
            </w:r>
          </w:p>
        </w:tc>
        <w:tc>
          <w:tcPr>
            <w:tcW w:w="1134" w:type="dxa"/>
          </w:tcPr>
          <w:p w14:paraId="7420B1D1" w14:textId="77777777" w:rsidR="005C3E44" w:rsidRDefault="005C3E44" w:rsidP="004346E8">
            <w:pPr>
              <w:jc w:val="center"/>
            </w:pPr>
          </w:p>
          <w:p w14:paraId="255293AB" w14:textId="77777777" w:rsidR="008F15B3" w:rsidRPr="002E6552" w:rsidRDefault="005C3E44" w:rsidP="004346E8">
            <w:pPr>
              <w:jc w:val="center"/>
            </w:pPr>
            <w:r>
              <w:t>25</w:t>
            </w:r>
          </w:p>
        </w:tc>
        <w:tc>
          <w:tcPr>
            <w:tcW w:w="1134" w:type="dxa"/>
          </w:tcPr>
          <w:p w14:paraId="6BF7BA98" w14:textId="77777777" w:rsidR="005C3E44" w:rsidRDefault="005C3E44" w:rsidP="004346E8">
            <w:pPr>
              <w:jc w:val="center"/>
            </w:pPr>
          </w:p>
          <w:p w14:paraId="19BE5142" w14:textId="77777777" w:rsidR="008F15B3" w:rsidRPr="002E6552" w:rsidRDefault="005C3E44" w:rsidP="004346E8">
            <w:pPr>
              <w:jc w:val="center"/>
            </w:pPr>
            <w:r>
              <w:t>1</w:t>
            </w:r>
            <w:r w:rsidR="00E83861">
              <w:t>40</w:t>
            </w:r>
          </w:p>
        </w:tc>
        <w:tc>
          <w:tcPr>
            <w:tcW w:w="1134" w:type="dxa"/>
          </w:tcPr>
          <w:p w14:paraId="35400427" w14:textId="77777777" w:rsidR="005C3E44" w:rsidRDefault="005C3E44" w:rsidP="004346E8">
            <w:pPr>
              <w:jc w:val="center"/>
            </w:pPr>
          </w:p>
          <w:p w14:paraId="73EC2854" w14:textId="77777777" w:rsidR="008F15B3" w:rsidRPr="002E6552" w:rsidRDefault="005C3E44" w:rsidP="004346E8">
            <w:pPr>
              <w:jc w:val="center"/>
            </w:pPr>
            <w:r>
              <w:t>300</w:t>
            </w:r>
          </w:p>
        </w:tc>
        <w:tc>
          <w:tcPr>
            <w:tcW w:w="1134" w:type="dxa"/>
          </w:tcPr>
          <w:p w14:paraId="45D40864" w14:textId="77777777" w:rsidR="005C3E44" w:rsidRDefault="005C3E44" w:rsidP="004346E8">
            <w:pPr>
              <w:jc w:val="center"/>
            </w:pPr>
          </w:p>
          <w:p w14:paraId="7252B120" w14:textId="77777777" w:rsidR="005C3E44" w:rsidRPr="002E6552" w:rsidRDefault="00E83861" w:rsidP="004346E8">
            <w:pPr>
              <w:jc w:val="center"/>
            </w:pPr>
            <w:r>
              <w:t>34</w:t>
            </w:r>
            <w:r w:rsidR="005C3E44">
              <w:t>6</w:t>
            </w:r>
          </w:p>
        </w:tc>
      </w:tr>
      <w:tr w:rsidR="008F15B3" w:rsidRPr="002E6552" w14:paraId="2FAD7D27" w14:textId="77777777" w:rsidTr="008F15B3">
        <w:tc>
          <w:tcPr>
            <w:tcW w:w="2155" w:type="dxa"/>
          </w:tcPr>
          <w:p w14:paraId="746AA2A8" w14:textId="77777777" w:rsidR="008F15B3" w:rsidRPr="005C3E44" w:rsidRDefault="005C3E44" w:rsidP="004346E8">
            <w:pPr>
              <w:pStyle w:val="ListParagraph"/>
              <w:numPr>
                <w:ilvl w:val="0"/>
                <w:numId w:val="32"/>
              </w:numPr>
              <w:spacing w:line="240" w:lineRule="auto"/>
              <w:jc w:val="both"/>
              <w:rPr>
                <w:rFonts w:ascii="Times New Roman" w:hAnsi="Times New Roman"/>
                <w:sz w:val="24"/>
                <w:szCs w:val="24"/>
              </w:rPr>
            </w:pPr>
            <w:r w:rsidRPr="005C3E44">
              <w:rPr>
                <w:rFonts w:ascii="Times New Roman" w:hAnsi="Times New Roman"/>
                <w:sz w:val="24"/>
                <w:szCs w:val="24"/>
              </w:rPr>
              <w:t>Toetatud ettevõtted, kes on tutvustanud turu jaoks uut toodet või teenust.</w:t>
            </w:r>
          </w:p>
        </w:tc>
        <w:tc>
          <w:tcPr>
            <w:tcW w:w="1134" w:type="dxa"/>
          </w:tcPr>
          <w:p w14:paraId="39EF0729" w14:textId="77777777" w:rsidR="005C3E44" w:rsidRDefault="005C3E44" w:rsidP="004346E8">
            <w:pPr>
              <w:jc w:val="center"/>
            </w:pPr>
          </w:p>
          <w:p w14:paraId="21F27AC0" w14:textId="77777777" w:rsidR="008F15B3" w:rsidRPr="002E6552" w:rsidRDefault="005C3E44" w:rsidP="004346E8">
            <w:pPr>
              <w:jc w:val="center"/>
            </w:pPr>
            <w:r>
              <w:t>ettevõte</w:t>
            </w:r>
          </w:p>
        </w:tc>
        <w:tc>
          <w:tcPr>
            <w:tcW w:w="1276" w:type="dxa"/>
          </w:tcPr>
          <w:p w14:paraId="6E5BDCD5" w14:textId="77777777" w:rsidR="005C3E44" w:rsidRDefault="005C3E44" w:rsidP="004346E8">
            <w:pPr>
              <w:jc w:val="center"/>
            </w:pPr>
          </w:p>
          <w:p w14:paraId="5533C35A" w14:textId="77777777" w:rsidR="008F15B3" w:rsidRPr="002E6552" w:rsidRDefault="005C3E44" w:rsidP="004346E8">
            <w:pPr>
              <w:jc w:val="center"/>
            </w:pPr>
            <w:r>
              <w:t>r</w:t>
            </w:r>
            <w:r w:rsidR="008F15B3" w:rsidRPr="002E6552">
              <w:t>akendus</w:t>
            </w:r>
            <w:r>
              <w:t>-</w:t>
            </w:r>
            <w:r w:rsidR="008F15B3" w:rsidRPr="002E6552">
              <w:t>üksus</w:t>
            </w:r>
          </w:p>
        </w:tc>
        <w:tc>
          <w:tcPr>
            <w:tcW w:w="1276" w:type="dxa"/>
          </w:tcPr>
          <w:p w14:paraId="3DDA23CB" w14:textId="77777777" w:rsidR="005C3E44" w:rsidRDefault="005C3E44" w:rsidP="004346E8">
            <w:pPr>
              <w:jc w:val="center"/>
            </w:pPr>
          </w:p>
          <w:p w14:paraId="749C0340" w14:textId="77777777" w:rsidR="008F15B3" w:rsidRPr="002E6552" w:rsidRDefault="008F15B3" w:rsidP="004346E8">
            <w:pPr>
              <w:jc w:val="center"/>
            </w:pPr>
            <w:r w:rsidRPr="002E6552">
              <w:t>kord aastas</w:t>
            </w:r>
          </w:p>
        </w:tc>
        <w:tc>
          <w:tcPr>
            <w:tcW w:w="1134" w:type="dxa"/>
          </w:tcPr>
          <w:p w14:paraId="2035ACA8" w14:textId="77777777" w:rsidR="005C3E44" w:rsidRDefault="005C3E44" w:rsidP="004346E8">
            <w:pPr>
              <w:jc w:val="center"/>
            </w:pPr>
          </w:p>
          <w:p w14:paraId="462D6CFE" w14:textId="77777777" w:rsidR="008F15B3" w:rsidRPr="002E6552" w:rsidRDefault="005C3E44" w:rsidP="004346E8">
            <w:pPr>
              <w:jc w:val="center"/>
            </w:pPr>
            <w:r>
              <w:t>0</w:t>
            </w:r>
          </w:p>
        </w:tc>
        <w:tc>
          <w:tcPr>
            <w:tcW w:w="1134" w:type="dxa"/>
          </w:tcPr>
          <w:p w14:paraId="57BB1C72" w14:textId="77777777" w:rsidR="008F15B3" w:rsidRDefault="008F15B3" w:rsidP="004346E8">
            <w:pPr>
              <w:jc w:val="center"/>
            </w:pPr>
          </w:p>
          <w:p w14:paraId="403F28E4" w14:textId="77777777" w:rsidR="005C3E44" w:rsidRPr="002E6552" w:rsidRDefault="005C3E44" w:rsidP="004346E8">
            <w:pPr>
              <w:jc w:val="center"/>
            </w:pPr>
            <w:r>
              <w:t>0</w:t>
            </w:r>
          </w:p>
        </w:tc>
        <w:tc>
          <w:tcPr>
            <w:tcW w:w="1134" w:type="dxa"/>
          </w:tcPr>
          <w:p w14:paraId="521086BF" w14:textId="77777777" w:rsidR="008F15B3" w:rsidRDefault="008F15B3" w:rsidP="004346E8">
            <w:pPr>
              <w:jc w:val="center"/>
            </w:pPr>
          </w:p>
          <w:p w14:paraId="5F0E3802" w14:textId="77777777" w:rsidR="005C3E44" w:rsidRPr="002E6552" w:rsidRDefault="005C3E44" w:rsidP="004346E8">
            <w:pPr>
              <w:jc w:val="center"/>
            </w:pPr>
            <w:r>
              <w:t>0</w:t>
            </w:r>
          </w:p>
        </w:tc>
        <w:tc>
          <w:tcPr>
            <w:tcW w:w="1134" w:type="dxa"/>
          </w:tcPr>
          <w:p w14:paraId="3F8790C6" w14:textId="77777777" w:rsidR="008F15B3" w:rsidRDefault="008F15B3" w:rsidP="004346E8">
            <w:pPr>
              <w:jc w:val="center"/>
            </w:pPr>
          </w:p>
          <w:p w14:paraId="4EC9D2EC" w14:textId="77777777" w:rsidR="005C3E44" w:rsidRPr="002E6552" w:rsidRDefault="00E83861" w:rsidP="004346E8">
            <w:pPr>
              <w:jc w:val="center"/>
            </w:pPr>
            <w:r>
              <w:t>20</w:t>
            </w:r>
          </w:p>
        </w:tc>
      </w:tr>
      <w:tr w:rsidR="008F15B3" w:rsidRPr="002E6552" w14:paraId="2D07659B" w14:textId="77777777" w:rsidTr="008F15B3">
        <w:tc>
          <w:tcPr>
            <w:tcW w:w="2155" w:type="dxa"/>
          </w:tcPr>
          <w:p w14:paraId="2DA71DB5" w14:textId="77777777" w:rsidR="008F15B3" w:rsidRPr="005C3E44" w:rsidRDefault="005C3E44" w:rsidP="004346E8">
            <w:pPr>
              <w:pStyle w:val="ListParagraph"/>
              <w:numPr>
                <w:ilvl w:val="0"/>
                <w:numId w:val="32"/>
              </w:numPr>
              <w:spacing w:line="240" w:lineRule="auto"/>
              <w:jc w:val="both"/>
              <w:rPr>
                <w:rFonts w:ascii="Times New Roman" w:hAnsi="Times New Roman"/>
                <w:sz w:val="24"/>
                <w:szCs w:val="24"/>
              </w:rPr>
            </w:pPr>
            <w:r w:rsidRPr="005C3E44">
              <w:rPr>
                <w:rFonts w:ascii="Times New Roman" w:hAnsi="Times New Roman"/>
                <w:sz w:val="24"/>
                <w:szCs w:val="24"/>
              </w:rPr>
              <w:t xml:space="preserve">Toetatud ettevõtted, kes on tutvustanud </w:t>
            </w:r>
            <w:r w:rsidRPr="005C3E44">
              <w:rPr>
                <w:rFonts w:ascii="Times New Roman" w:hAnsi="Times New Roman"/>
                <w:sz w:val="24"/>
                <w:szCs w:val="24"/>
              </w:rPr>
              <w:lastRenderedPageBreak/>
              <w:t>ettevõtte jaoks uut toodet või teenust.</w:t>
            </w:r>
          </w:p>
        </w:tc>
        <w:tc>
          <w:tcPr>
            <w:tcW w:w="1134" w:type="dxa"/>
          </w:tcPr>
          <w:p w14:paraId="7F2B68BD" w14:textId="77777777" w:rsidR="005C3E44" w:rsidRDefault="005C3E44" w:rsidP="004346E8">
            <w:pPr>
              <w:jc w:val="center"/>
            </w:pPr>
          </w:p>
          <w:p w14:paraId="3F5E1F82" w14:textId="77777777" w:rsidR="005C3E44" w:rsidRDefault="005C3E44" w:rsidP="004346E8">
            <w:pPr>
              <w:jc w:val="center"/>
            </w:pPr>
          </w:p>
          <w:p w14:paraId="18EB9A04" w14:textId="77777777" w:rsidR="008F15B3" w:rsidRPr="002E6552" w:rsidRDefault="005C3E44" w:rsidP="004346E8">
            <w:pPr>
              <w:jc w:val="center"/>
            </w:pPr>
            <w:r>
              <w:t>ettevõte</w:t>
            </w:r>
          </w:p>
        </w:tc>
        <w:tc>
          <w:tcPr>
            <w:tcW w:w="1276" w:type="dxa"/>
          </w:tcPr>
          <w:p w14:paraId="2180527D" w14:textId="77777777" w:rsidR="005C3E44" w:rsidRDefault="005C3E44" w:rsidP="004346E8">
            <w:pPr>
              <w:jc w:val="center"/>
            </w:pPr>
          </w:p>
          <w:p w14:paraId="52E94061" w14:textId="77777777" w:rsidR="005C3E44" w:rsidRDefault="005C3E44" w:rsidP="004346E8">
            <w:pPr>
              <w:jc w:val="center"/>
            </w:pPr>
          </w:p>
          <w:p w14:paraId="5957A134" w14:textId="77777777" w:rsidR="008F15B3" w:rsidRPr="002E6552" w:rsidRDefault="005C3E44" w:rsidP="004346E8">
            <w:pPr>
              <w:jc w:val="center"/>
            </w:pPr>
            <w:r>
              <w:lastRenderedPageBreak/>
              <w:t>r</w:t>
            </w:r>
            <w:r w:rsidR="008F15B3" w:rsidRPr="002E6552">
              <w:t>akendus</w:t>
            </w:r>
            <w:r>
              <w:t>-</w:t>
            </w:r>
            <w:r w:rsidR="008F15B3" w:rsidRPr="002E6552">
              <w:t>üksus</w:t>
            </w:r>
          </w:p>
        </w:tc>
        <w:tc>
          <w:tcPr>
            <w:tcW w:w="1276" w:type="dxa"/>
          </w:tcPr>
          <w:p w14:paraId="11D02B2C" w14:textId="77777777" w:rsidR="005C3E44" w:rsidRDefault="005C3E44" w:rsidP="004346E8">
            <w:pPr>
              <w:jc w:val="center"/>
            </w:pPr>
          </w:p>
          <w:p w14:paraId="7A15044F" w14:textId="77777777" w:rsidR="005C3E44" w:rsidRDefault="005C3E44" w:rsidP="004346E8">
            <w:pPr>
              <w:jc w:val="center"/>
            </w:pPr>
          </w:p>
          <w:p w14:paraId="135335ED" w14:textId="77777777" w:rsidR="008F15B3" w:rsidRPr="002E6552" w:rsidRDefault="008F15B3" w:rsidP="004346E8">
            <w:pPr>
              <w:jc w:val="center"/>
            </w:pPr>
            <w:r w:rsidRPr="002E6552">
              <w:lastRenderedPageBreak/>
              <w:t>kord aastas</w:t>
            </w:r>
          </w:p>
        </w:tc>
        <w:tc>
          <w:tcPr>
            <w:tcW w:w="1134" w:type="dxa"/>
          </w:tcPr>
          <w:p w14:paraId="7A4875DF" w14:textId="77777777" w:rsidR="008F15B3" w:rsidRDefault="008F15B3" w:rsidP="004346E8">
            <w:pPr>
              <w:jc w:val="center"/>
            </w:pPr>
          </w:p>
          <w:p w14:paraId="48DEF5BB" w14:textId="77777777" w:rsidR="005C3E44" w:rsidRDefault="005C3E44" w:rsidP="004346E8">
            <w:pPr>
              <w:jc w:val="center"/>
            </w:pPr>
          </w:p>
          <w:p w14:paraId="2C85DB61" w14:textId="77777777" w:rsidR="005C3E44" w:rsidRPr="002E6552" w:rsidRDefault="005C3E44" w:rsidP="004346E8">
            <w:pPr>
              <w:jc w:val="center"/>
            </w:pPr>
            <w:r>
              <w:t>0</w:t>
            </w:r>
          </w:p>
        </w:tc>
        <w:tc>
          <w:tcPr>
            <w:tcW w:w="1134" w:type="dxa"/>
          </w:tcPr>
          <w:p w14:paraId="263DE6EA" w14:textId="77777777" w:rsidR="008F15B3" w:rsidRDefault="008F15B3" w:rsidP="004346E8">
            <w:pPr>
              <w:jc w:val="center"/>
            </w:pPr>
          </w:p>
          <w:p w14:paraId="2FD06E35" w14:textId="77777777" w:rsidR="005C3E44" w:rsidRDefault="005C3E44" w:rsidP="004346E8">
            <w:pPr>
              <w:jc w:val="center"/>
            </w:pPr>
          </w:p>
          <w:p w14:paraId="6A20C0DE" w14:textId="77777777" w:rsidR="005C3E44" w:rsidRPr="002E6552" w:rsidRDefault="005C3E44" w:rsidP="004346E8">
            <w:pPr>
              <w:jc w:val="center"/>
            </w:pPr>
            <w:r>
              <w:t>0</w:t>
            </w:r>
          </w:p>
        </w:tc>
        <w:tc>
          <w:tcPr>
            <w:tcW w:w="1134" w:type="dxa"/>
          </w:tcPr>
          <w:p w14:paraId="0593E7C8" w14:textId="77777777" w:rsidR="008F15B3" w:rsidRDefault="008F15B3" w:rsidP="004346E8">
            <w:pPr>
              <w:jc w:val="center"/>
            </w:pPr>
          </w:p>
          <w:p w14:paraId="162FA30C" w14:textId="77777777" w:rsidR="005C3E44" w:rsidRDefault="005C3E44" w:rsidP="004346E8">
            <w:pPr>
              <w:jc w:val="center"/>
            </w:pPr>
          </w:p>
          <w:p w14:paraId="3C8ED076" w14:textId="77777777" w:rsidR="005C3E44" w:rsidRDefault="005C3E44" w:rsidP="004346E8">
            <w:pPr>
              <w:jc w:val="center"/>
            </w:pPr>
            <w:r>
              <w:t>0</w:t>
            </w:r>
          </w:p>
        </w:tc>
        <w:tc>
          <w:tcPr>
            <w:tcW w:w="1134" w:type="dxa"/>
          </w:tcPr>
          <w:p w14:paraId="4DE0152F" w14:textId="77777777" w:rsidR="008F15B3" w:rsidRDefault="008F15B3" w:rsidP="004346E8">
            <w:pPr>
              <w:jc w:val="center"/>
            </w:pPr>
          </w:p>
          <w:p w14:paraId="28998F81" w14:textId="77777777" w:rsidR="005C3E44" w:rsidRDefault="005C3E44" w:rsidP="004346E8">
            <w:pPr>
              <w:jc w:val="center"/>
            </w:pPr>
          </w:p>
          <w:p w14:paraId="26232321" w14:textId="77777777" w:rsidR="005C3E44" w:rsidRDefault="00E83861" w:rsidP="004346E8">
            <w:pPr>
              <w:jc w:val="center"/>
            </w:pPr>
            <w:r>
              <w:t>55</w:t>
            </w:r>
          </w:p>
        </w:tc>
      </w:tr>
      <w:tr w:rsidR="005C3E44" w:rsidRPr="002E6552" w14:paraId="25FC3177" w14:textId="77777777" w:rsidTr="008F15B3">
        <w:tc>
          <w:tcPr>
            <w:tcW w:w="2155" w:type="dxa"/>
          </w:tcPr>
          <w:p w14:paraId="0FD1C321" w14:textId="77777777" w:rsidR="005C3E44" w:rsidRPr="005C3E44" w:rsidRDefault="005C3E44" w:rsidP="004346E8">
            <w:pPr>
              <w:pStyle w:val="ListParagraph"/>
              <w:numPr>
                <w:ilvl w:val="0"/>
                <w:numId w:val="32"/>
              </w:numPr>
              <w:spacing w:line="240" w:lineRule="auto"/>
              <w:jc w:val="both"/>
              <w:rPr>
                <w:rFonts w:ascii="Times New Roman" w:hAnsi="Times New Roman"/>
                <w:sz w:val="24"/>
                <w:szCs w:val="24"/>
              </w:rPr>
            </w:pPr>
            <w:r w:rsidRPr="005C3E44">
              <w:rPr>
                <w:rFonts w:ascii="Times New Roman" w:hAnsi="Times New Roman"/>
                <w:sz w:val="24"/>
                <w:szCs w:val="24"/>
              </w:rPr>
              <w:lastRenderedPageBreak/>
              <w:t>Erainvesteeringud kooskõlas riigi toetustega innovatsiooni või teadus- ja arendustegevuse alastele projektidele (mln €).</w:t>
            </w:r>
          </w:p>
        </w:tc>
        <w:tc>
          <w:tcPr>
            <w:tcW w:w="1134" w:type="dxa"/>
          </w:tcPr>
          <w:p w14:paraId="7D3777F7" w14:textId="77777777" w:rsidR="005C3E44" w:rsidRDefault="005C3E44" w:rsidP="004346E8">
            <w:pPr>
              <w:jc w:val="center"/>
            </w:pPr>
          </w:p>
          <w:p w14:paraId="54023AA9" w14:textId="77777777" w:rsidR="005C3E44" w:rsidRDefault="005C3E44" w:rsidP="004346E8">
            <w:pPr>
              <w:jc w:val="center"/>
            </w:pPr>
          </w:p>
          <w:p w14:paraId="74915004" w14:textId="77777777" w:rsidR="005C3E44" w:rsidRDefault="005C3E44" w:rsidP="004346E8">
            <w:pPr>
              <w:jc w:val="center"/>
            </w:pPr>
          </w:p>
          <w:p w14:paraId="05B79581" w14:textId="77777777" w:rsidR="005C3E44" w:rsidRDefault="005C3E44" w:rsidP="004346E8">
            <w:pPr>
              <w:jc w:val="center"/>
            </w:pPr>
          </w:p>
          <w:p w14:paraId="6EEF26A4" w14:textId="77777777" w:rsidR="005C3E44" w:rsidRDefault="005C3E44" w:rsidP="004346E8">
            <w:pPr>
              <w:jc w:val="center"/>
            </w:pPr>
            <w:r>
              <w:t>ettevõte</w:t>
            </w:r>
          </w:p>
        </w:tc>
        <w:tc>
          <w:tcPr>
            <w:tcW w:w="1276" w:type="dxa"/>
          </w:tcPr>
          <w:p w14:paraId="67AA44EE" w14:textId="77777777" w:rsidR="005C3E44" w:rsidRDefault="005C3E44" w:rsidP="004346E8">
            <w:pPr>
              <w:jc w:val="center"/>
            </w:pPr>
          </w:p>
          <w:p w14:paraId="0A235946" w14:textId="77777777" w:rsidR="005C3E44" w:rsidRDefault="005C3E44" w:rsidP="004346E8">
            <w:pPr>
              <w:jc w:val="center"/>
            </w:pPr>
          </w:p>
          <w:p w14:paraId="09247ABF" w14:textId="77777777" w:rsidR="005C3E44" w:rsidRDefault="005C3E44" w:rsidP="004346E8">
            <w:pPr>
              <w:jc w:val="center"/>
            </w:pPr>
          </w:p>
          <w:p w14:paraId="57859A39" w14:textId="77777777" w:rsidR="005C3E44" w:rsidRDefault="005C3E44" w:rsidP="004346E8">
            <w:pPr>
              <w:jc w:val="center"/>
            </w:pPr>
          </w:p>
          <w:p w14:paraId="3B7A5652" w14:textId="77777777" w:rsidR="005C3E44" w:rsidRDefault="005C3E44" w:rsidP="004346E8">
            <w:pPr>
              <w:jc w:val="center"/>
            </w:pPr>
            <w:r>
              <w:t>rakendus-üksus</w:t>
            </w:r>
          </w:p>
        </w:tc>
        <w:tc>
          <w:tcPr>
            <w:tcW w:w="1276" w:type="dxa"/>
          </w:tcPr>
          <w:p w14:paraId="5F4E6AEB" w14:textId="77777777" w:rsidR="005C3E44" w:rsidRDefault="005C3E44" w:rsidP="004346E8">
            <w:pPr>
              <w:jc w:val="center"/>
            </w:pPr>
          </w:p>
          <w:p w14:paraId="5E689F1F" w14:textId="77777777" w:rsidR="005C3E44" w:rsidRDefault="005C3E44" w:rsidP="004346E8">
            <w:pPr>
              <w:jc w:val="center"/>
            </w:pPr>
          </w:p>
          <w:p w14:paraId="6EAD5BB9" w14:textId="77777777" w:rsidR="005C3E44" w:rsidRDefault="005C3E44" w:rsidP="004346E8">
            <w:pPr>
              <w:jc w:val="center"/>
            </w:pPr>
          </w:p>
          <w:p w14:paraId="0BA4C4E4" w14:textId="77777777" w:rsidR="005C3E44" w:rsidRDefault="005C3E44" w:rsidP="004346E8">
            <w:pPr>
              <w:jc w:val="center"/>
            </w:pPr>
          </w:p>
          <w:p w14:paraId="4B221BE5" w14:textId="77777777" w:rsidR="005C3E44" w:rsidRDefault="005C3E44" w:rsidP="004346E8">
            <w:pPr>
              <w:jc w:val="center"/>
            </w:pPr>
            <w:r>
              <w:t>kord</w:t>
            </w:r>
          </w:p>
          <w:p w14:paraId="7694FB73" w14:textId="77777777" w:rsidR="005C3E44" w:rsidRPr="002E6552" w:rsidRDefault="005C3E44" w:rsidP="004346E8">
            <w:pPr>
              <w:jc w:val="center"/>
            </w:pPr>
            <w:r>
              <w:t>aastas</w:t>
            </w:r>
          </w:p>
        </w:tc>
        <w:tc>
          <w:tcPr>
            <w:tcW w:w="1134" w:type="dxa"/>
          </w:tcPr>
          <w:p w14:paraId="4C7F741F" w14:textId="77777777" w:rsidR="005C3E44" w:rsidRDefault="005C3E44" w:rsidP="004346E8">
            <w:pPr>
              <w:jc w:val="center"/>
            </w:pPr>
          </w:p>
          <w:p w14:paraId="5096A127" w14:textId="77777777" w:rsidR="005C3E44" w:rsidRDefault="005C3E44" w:rsidP="004346E8">
            <w:pPr>
              <w:jc w:val="center"/>
            </w:pPr>
          </w:p>
          <w:p w14:paraId="3DB1317B" w14:textId="77777777" w:rsidR="005C3E44" w:rsidRDefault="005C3E44" w:rsidP="004346E8">
            <w:pPr>
              <w:jc w:val="center"/>
            </w:pPr>
          </w:p>
          <w:p w14:paraId="51C40D21" w14:textId="77777777" w:rsidR="005C3E44" w:rsidRDefault="005C3E44" w:rsidP="004346E8">
            <w:pPr>
              <w:jc w:val="center"/>
            </w:pPr>
          </w:p>
          <w:p w14:paraId="693895D5" w14:textId="77777777" w:rsidR="005C3E44" w:rsidRDefault="005C3E44" w:rsidP="004346E8">
            <w:pPr>
              <w:jc w:val="center"/>
            </w:pPr>
            <w:r>
              <w:t>5,1</w:t>
            </w:r>
          </w:p>
        </w:tc>
        <w:tc>
          <w:tcPr>
            <w:tcW w:w="1134" w:type="dxa"/>
          </w:tcPr>
          <w:p w14:paraId="3AD90D55" w14:textId="77777777" w:rsidR="005C3E44" w:rsidRDefault="005C3E44" w:rsidP="004346E8">
            <w:pPr>
              <w:jc w:val="center"/>
            </w:pPr>
          </w:p>
          <w:p w14:paraId="33E14082" w14:textId="77777777" w:rsidR="005C3E44" w:rsidRDefault="005C3E44" w:rsidP="004346E8">
            <w:pPr>
              <w:jc w:val="center"/>
            </w:pPr>
          </w:p>
          <w:p w14:paraId="637491C4" w14:textId="77777777" w:rsidR="005C3E44" w:rsidRDefault="005C3E44" w:rsidP="004346E8">
            <w:pPr>
              <w:jc w:val="center"/>
            </w:pPr>
          </w:p>
          <w:p w14:paraId="0A09048B" w14:textId="77777777" w:rsidR="005C3E44" w:rsidRDefault="005C3E44" w:rsidP="004346E8">
            <w:pPr>
              <w:jc w:val="center"/>
            </w:pPr>
          </w:p>
          <w:p w14:paraId="16FFF109" w14:textId="77777777" w:rsidR="005C3E44" w:rsidRDefault="005C3E44" w:rsidP="004346E8">
            <w:pPr>
              <w:jc w:val="center"/>
            </w:pPr>
            <w:r>
              <w:t>30,6</w:t>
            </w:r>
          </w:p>
        </w:tc>
        <w:tc>
          <w:tcPr>
            <w:tcW w:w="1134" w:type="dxa"/>
          </w:tcPr>
          <w:p w14:paraId="73CEA402" w14:textId="77777777" w:rsidR="005C3E44" w:rsidRDefault="005C3E44" w:rsidP="004346E8">
            <w:pPr>
              <w:jc w:val="center"/>
            </w:pPr>
          </w:p>
          <w:p w14:paraId="5976D457" w14:textId="77777777" w:rsidR="005C3E44" w:rsidRDefault="005C3E44" w:rsidP="004346E8">
            <w:pPr>
              <w:jc w:val="center"/>
            </w:pPr>
          </w:p>
          <w:p w14:paraId="3EBCF1EF" w14:textId="77777777" w:rsidR="005C3E44" w:rsidRDefault="005C3E44" w:rsidP="004346E8">
            <w:pPr>
              <w:jc w:val="center"/>
            </w:pPr>
          </w:p>
          <w:p w14:paraId="719A3FFA" w14:textId="77777777" w:rsidR="005C3E44" w:rsidRDefault="005C3E44" w:rsidP="004346E8">
            <w:pPr>
              <w:jc w:val="center"/>
            </w:pPr>
          </w:p>
          <w:p w14:paraId="45955813" w14:textId="77777777" w:rsidR="005C3E44" w:rsidRDefault="005C3E44" w:rsidP="004346E8">
            <w:pPr>
              <w:jc w:val="center"/>
            </w:pPr>
            <w:r>
              <w:t>61,3</w:t>
            </w:r>
          </w:p>
        </w:tc>
        <w:tc>
          <w:tcPr>
            <w:tcW w:w="1134" w:type="dxa"/>
          </w:tcPr>
          <w:p w14:paraId="0D60AD4B" w14:textId="77777777" w:rsidR="005C3E44" w:rsidRDefault="005C3E44" w:rsidP="004346E8">
            <w:pPr>
              <w:jc w:val="center"/>
            </w:pPr>
          </w:p>
          <w:p w14:paraId="50E4C84C" w14:textId="77777777" w:rsidR="005C3E44" w:rsidRDefault="005C3E44" w:rsidP="004346E8">
            <w:pPr>
              <w:jc w:val="center"/>
            </w:pPr>
          </w:p>
          <w:p w14:paraId="73E4F255" w14:textId="77777777" w:rsidR="005C3E44" w:rsidRDefault="005C3E44" w:rsidP="004346E8">
            <w:pPr>
              <w:jc w:val="center"/>
            </w:pPr>
          </w:p>
          <w:p w14:paraId="3131A835" w14:textId="77777777" w:rsidR="005C3E44" w:rsidRDefault="005C3E44" w:rsidP="004346E8">
            <w:pPr>
              <w:jc w:val="center"/>
            </w:pPr>
          </w:p>
          <w:p w14:paraId="590EC082" w14:textId="77777777" w:rsidR="005C3E44" w:rsidRDefault="005C3E44" w:rsidP="004346E8">
            <w:pPr>
              <w:jc w:val="center"/>
            </w:pPr>
            <w:r>
              <w:t>72,7</w:t>
            </w:r>
          </w:p>
        </w:tc>
      </w:tr>
    </w:tbl>
    <w:p w14:paraId="57026DD5" w14:textId="77777777" w:rsidR="00074789" w:rsidRPr="002E6552" w:rsidRDefault="00074789" w:rsidP="004346E8">
      <w:pPr>
        <w:jc w:val="both"/>
        <w:rPr>
          <w:rFonts w:eastAsia="Arial Unicode MS"/>
        </w:rPr>
      </w:pPr>
    </w:p>
    <w:p w14:paraId="133C68C9" w14:textId="664E6F78" w:rsidR="003E17CB" w:rsidRPr="003E17CB" w:rsidRDefault="00E541D8" w:rsidP="004346E8">
      <w:pPr>
        <w:jc w:val="both"/>
        <w:rPr>
          <w:rFonts w:eastAsia="Arial Unicode MS"/>
        </w:rPr>
      </w:pPr>
      <w:r>
        <w:rPr>
          <w:rFonts w:eastAsia="Arial Unicode MS"/>
        </w:rPr>
        <w:t xml:space="preserve">Lisaks eeltoodud </w:t>
      </w:r>
      <w:r w:rsidR="003E17CB">
        <w:rPr>
          <w:rFonts w:eastAsia="Arial Unicode MS"/>
        </w:rPr>
        <w:t>väljundnäitajatele peavad</w:t>
      </w:r>
      <w:r>
        <w:rPr>
          <w:rFonts w:eastAsia="Arial Unicode MS"/>
        </w:rPr>
        <w:t xml:space="preserve"> toetuse andmise ja arenguplaani elluviimise tulemusena </w:t>
      </w:r>
      <w:r w:rsidR="007A463C" w:rsidRPr="007A463C">
        <w:rPr>
          <w:rFonts w:eastAsia="Arial Unicode MS"/>
        </w:rPr>
        <w:t>arenguplaani alustamise aastale järgnevast majandusaastast alates kuni kaks majandusaastat peale arenguplaani lõppemist igal majandusaastal</w:t>
      </w:r>
      <w:r w:rsidR="003E17CB">
        <w:rPr>
          <w:rFonts w:eastAsia="Arial Unicode MS"/>
        </w:rPr>
        <w:t xml:space="preserve"> toimuma ettevõtjate majandusnäitajates järgmised muudatused:</w:t>
      </w:r>
    </w:p>
    <w:p w14:paraId="0F8CA9C9" w14:textId="77777777" w:rsidR="003E17CB" w:rsidRPr="003E17CB" w:rsidRDefault="003E17CB" w:rsidP="004346E8">
      <w:pPr>
        <w:pStyle w:val="ListParagraph"/>
        <w:numPr>
          <w:ilvl w:val="0"/>
          <w:numId w:val="33"/>
        </w:numPr>
        <w:spacing w:line="240" w:lineRule="auto"/>
        <w:jc w:val="both"/>
        <w:rPr>
          <w:rFonts w:ascii="Times New Roman" w:eastAsia="Arial Unicode MS" w:hAnsi="Times New Roman"/>
          <w:sz w:val="24"/>
          <w:szCs w:val="24"/>
        </w:rPr>
      </w:pPr>
      <w:r w:rsidRPr="003E17CB">
        <w:rPr>
          <w:rFonts w:ascii="Times New Roman" w:eastAsia="Arial Unicode MS" w:hAnsi="Times New Roman"/>
          <w:sz w:val="24"/>
          <w:szCs w:val="24"/>
        </w:rPr>
        <w:t xml:space="preserve">ettevõtja müügitulu </w:t>
      </w:r>
      <w:r>
        <w:rPr>
          <w:rFonts w:ascii="Times New Roman" w:eastAsia="Arial Unicode MS" w:hAnsi="Times New Roman"/>
          <w:sz w:val="24"/>
          <w:szCs w:val="24"/>
        </w:rPr>
        <w:t>kasva</w:t>
      </w:r>
      <w:r w:rsidR="00B65C1A">
        <w:rPr>
          <w:rFonts w:ascii="Times New Roman" w:eastAsia="Arial Unicode MS" w:hAnsi="Times New Roman"/>
          <w:sz w:val="24"/>
          <w:szCs w:val="24"/>
        </w:rPr>
        <w:t>b</w:t>
      </w:r>
      <w:r>
        <w:rPr>
          <w:rFonts w:ascii="Times New Roman" w:eastAsia="Arial Unicode MS" w:hAnsi="Times New Roman"/>
          <w:sz w:val="24"/>
          <w:szCs w:val="24"/>
        </w:rPr>
        <w:t xml:space="preserve"> </w:t>
      </w:r>
      <w:r w:rsidRPr="003E17CB">
        <w:rPr>
          <w:rFonts w:ascii="Times New Roman" w:eastAsia="Arial Unicode MS" w:hAnsi="Times New Roman"/>
          <w:sz w:val="24"/>
          <w:szCs w:val="24"/>
        </w:rPr>
        <w:t xml:space="preserve">keskmiselt 10% </w:t>
      </w:r>
      <w:r w:rsidR="00A84334">
        <w:rPr>
          <w:rFonts w:ascii="Times New Roman" w:eastAsia="Arial Unicode MS" w:hAnsi="Times New Roman"/>
          <w:sz w:val="24"/>
          <w:szCs w:val="24"/>
        </w:rPr>
        <w:t xml:space="preserve">võrra </w:t>
      </w:r>
      <w:r w:rsidRPr="003E17CB">
        <w:rPr>
          <w:rFonts w:ascii="Times New Roman" w:eastAsia="Arial Unicode MS" w:hAnsi="Times New Roman"/>
          <w:sz w:val="24"/>
          <w:szCs w:val="24"/>
        </w:rPr>
        <w:t>või rohkem kui vastava sektori müügitulu;</w:t>
      </w:r>
    </w:p>
    <w:p w14:paraId="225A316E" w14:textId="77777777" w:rsidR="003E17CB" w:rsidRPr="003E17CB" w:rsidRDefault="003E17CB" w:rsidP="004346E8">
      <w:pPr>
        <w:pStyle w:val="ListParagraph"/>
        <w:numPr>
          <w:ilvl w:val="0"/>
          <w:numId w:val="33"/>
        </w:numPr>
        <w:spacing w:line="240" w:lineRule="auto"/>
        <w:jc w:val="both"/>
        <w:rPr>
          <w:rFonts w:ascii="Times New Roman" w:eastAsia="Arial Unicode MS" w:hAnsi="Times New Roman"/>
          <w:sz w:val="24"/>
          <w:szCs w:val="24"/>
        </w:rPr>
      </w:pPr>
      <w:r w:rsidRPr="003E17CB">
        <w:rPr>
          <w:rFonts w:ascii="Times New Roman" w:eastAsia="Arial Unicode MS" w:hAnsi="Times New Roman"/>
          <w:sz w:val="24"/>
          <w:szCs w:val="24"/>
        </w:rPr>
        <w:t xml:space="preserve">ettevõtja lisandväärtus töötaja </w:t>
      </w:r>
      <w:r>
        <w:rPr>
          <w:rFonts w:ascii="Times New Roman" w:eastAsia="Arial Unicode MS" w:hAnsi="Times New Roman"/>
          <w:sz w:val="24"/>
          <w:szCs w:val="24"/>
        </w:rPr>
        <w:t xml:space="preserve">kasvab </w:t>
      </w:r>
      <w:r w:rsidRPr="003E17CB">
        <w:rPr>
          <w:rFonts w:ascii="Times New Roman" w:eastAsia="Arial Unicode MS" w:hAnsi="Times New Roman"/>
          <w:sz w:val="24"/>
          <w:szCs w:val="24"/>
        </w:rPr>
        <w:t xml:space="preserve">kohta keskmiselt 10% </w:t>
      </w:r>
      <w:r w:rsidR="00A84334">
        <w:rPr>
          <w:rFonts w:ascii="Times New Roman" w:eastAsia="Arial Unicode MS" w:hAnsi="Times New Roman"/>
          <w:sz w:val="24"/>
          <w:szCs w:val="24"/>
        </w:rPr>
        <w:t xml:space="preserve">võrra </w:t>
      </w:r>
      <w:r w:rsidRPr="003E17CB">
        <w:rPr>
          <w:rFonts w:ascii="Times New Roman" w:eastAsia="Arial Unicode MS" w:hAnsi="Times New Roman"/>
          <w:sz w:val="24"/>
          <w:szCs w:val="24"/>
        </w:rPr>
        <w:t>või rohkem kui vastava sektori keskmine lisandväärtusest töötaja kohta.</w:t>
      </w:r>
    </w:p>
    <w:p w14:paraId="441CE97B" w14:textId="77777777" w:rsidR="007A463C" w:rsidRDefault="007A463C" w:rsidP="00D75E47">
      <w:pPr>
        <w:jc w:val="both"/>
        <w:rPr>
          <w:rFonts w:eastAsia="Arial Unicode MS"/>
        </w:rPr>
      </w:pPr>
    </w:p>
    <w:p w14:paraId="7926FF48" w14:textId="77777777" w:rsidR="003E17CB" w:rsidRPr="003E17CB" w:rsidRDefault="003E17CB" w:rsidP="00D75E47">
      <w:pPr>
        <w:jc w:val="both"/>
        <w:rPr>
          <w:rFonts w:eastAsia="Arial Unicode MS"/>
        </w:rPr>
      </w:pPr>
      <w:r>
        <w:rPr>
          <w:rFonts w:eastAsia="Arial Unicode MS"/>
        </w:rPr>
        <w:t>Ettevõtja tulemusi võrreldakse sama sektori (EMTAK kahekohalise koodi täpsus) ettevõtjate tulemustega. Nimetatud metoodika võttab arvesse sektorit kui tervikut mõjutavad välis- ja sisemõjud, andes sellega selgema arusaama ettevõttes toimunud muutuste ja ettevõt</w:t>
      </w:r>
      <w:r w:rsidR="003845FC">
        <w:rPr>
          <w:rFonts w:eastAsia="Arial Unicode MS"/>
        </w:rPr>
        <w:t xml:space="preserve">te enda poolt algatatud tegevuste mõjust. </w:t>
      </w:r>
    </w:p>
    <w:p w14:paraId="681C6171" w14:textId="77777777" w:rsidR="003E17CB" w:rsidRDefault="003E17CB" w:rsidP="004346E8">
      <w:pPr>
        <w:jc w:val="both"/>
        <w:rPr>
          <w:rFonts w:eastAsia="Arial Unicode MS"/>
        </w:rPr>
      </w:pPr>
    </w:p>
    <w:p w14:paraId="23D328A9" w14:textId="77777777" w:rsidR="003845FC" w:rsidRPr="003845FC" w:rsidRDefault="003845FC" w:rsidP="00D75E47">
      <w:pPr>
        <w:widowControl w:val="0"/>
        <w:tabs>
          <w:tab w:val="center" w:pos="8051"/>
          <w:tab w:val="right" w:pos="12204"/>
        </w:tabs>
        <w:suppressAutoHyphens/>
        <w:autoSpaceDE w:val="0"/>
        <w:jc w:val="both"/>
        <w:rPr>
          <w:bCs/>
          <w:lang w:eastAsia="ar-SA"/>
        </w:rPr>
      </w:pPr>
      <w:r>
        <w:rPr>
          <w:bCs/>
          <w:lang w:eastAsia="ar-SA"/>
        </w:rPr>
        <w:t>A</w:t>
      </w:r>
      <w:r w:rsidRPr="003845FC">
        <w:rPr>
          <w:bCs/>
          <w:lang w:eastAsia="ar-SA"/>
        </w:rPr>
        <w:t>rvu</w:t>
      </w:r>
      <w:r>
        <w:rPr>
          <w:bCs/>
          <w:lang w:eastAsia="ar-SA"/>
        </w:rPr>
        <w:t>tamismetoodikana kasutatakse</w:t>
      </w:r>
      <w:r w:rsidRPr="003845FC">
        <w:rPr>
          <w:bCs/>
          <w:lang w:eastAsia="ar-SA"/>
        </w:rPr>
        <w:t xml:space="preserve"> </w:t>
      </w:r>
      <w:r>
        <w:rPr>
          <w:bCs/>
          <w:lang w:eastAsia="ar-SA"/>
        </w:rPr>
        <w:t>liitkasvu arvutamise metoodikat</w:t>
      </w:r>
      <w:r w:rsidRPr="003845FC">
        <w:rPr>
          <w:bCs/>
          <w:lang w:eastAsia="ar-SA"/>
        </w:rPr>
        <w:t xml:space="preserve">. </w:t>
      </w:r>
    </w:p>
    <w:p w14:paraId="76CB917D" w14:textId="77777777" w:rsidR="003845FC" w:rsidRPr="003845FC" w:rsidRDefault="003845FC">
      <w:pPr>
        <w:widowControl w:val="0"/>
        <w:tabs>
          <w:tab w:val="left" w:pos="2220"/>
        </w:tabs>
        <w:suppressAutoHyphens/>
        <w:autoSpaceDE w:val="0"/>
        <w:jc w:val="both"/>
        <w:rPr>
          <w:bCs/>
          <w:lang w:eastAsia="ar-SA"/>
        </w:rPr>
      </w:pPr>
      <w:r w:rsidRPr="003845FC">
        <w:rPr>
          <w:bCs/>
          <w:lang w:eastAsia="ar-SA"/>
        </w:rPr>
        <w:tab/>
      </w:r>
    </w:p>
    <w:p w14:paraId="7A996E27" w14:textId="77777777" w:rsidR="003845FC" w:rsidRPr="003845FC" w:rsidRDefault="003845FC">
      <w:pPr>
        <w:widowControl w:val="0"/>
        <w:tabs>
          <w:tab w:val="center" w:pos="8051"/>
          <w:tab w:val="right" w:pos="12204"/>
        </w:tabs>
        <w:suppressAutoHyphens/>
        <w:autoSpaceDE w:val="0"/>
        <w:jc w:val="center"/>
        <w:rPr>
          <w:bCs/>
          <w:sz w:val="36"/>
          <w:szCs w:val="36"/>
          <w:lang w:eastAsia="ar-SA"/>
        </w:rPr>
      </w:pPr>
      <w:r w:rsidRPr="003845FC">
        <w:rPr>
          <w:bCs/>
          <w:sz w:val="36"/>
          <w:szCs w:val="36"/>
          <w:lang w:eastAsia="ar-SA"/>
        </w:rPr>
        <w:t>Z=</w:t>
      </w:r>
      <m:oMath>
        <m:rad>
          <m:radPr>
            <m:ctrlPr>
              <w:rPr>
                <w:rFonts w:ascii="Cambria Math" w:hAnsi="Cambria Math"/>
                <w:bCs/>
                <w:i/>
                <w:sz w:val="36"/>
                <w:szCs w:val="36"/>
                <w:lang w:eastAsia="ar-SA"/>
              </w:rPr>
            </m:ctrlPr>
          </m:radPr>
          <m:deg>
            <m:r>
              <w:rPr>
                <w:rFonts w:ascii="Cambria Math" w:hAnsi="Cambria Math"/>
                <w:sz w:val="36"/>
                <w:szCs w:val="36"/>
                <w:lang w:eastAsia="ar-SA"/>
              </w:rPr>
              <m:t xml:space="preserve">arenguplaani pikkus +1 majandusaasta </m:t>
            </m:r>
          </m:deg>
          <m:e>
            <m:f>
              <m:fPr>
                <m:ctrlPr>
                  <w:rPr>
                    <w:rFonts w:ascii="Cambria Math" w:hAnsi="Cambria Math"/>
                    <w:bCs/>
                    <w:i/>
                    <w:sz w:val="36"/>
                    <w:szCs w:val="36"/>
                    <w:lang w:eastAsia="ar-SA"/>
                  </w:rPr>
                </m:ctrlPr>
              </m:fPr>
              <m:num>
                <m:r>
                  <w:rPr>
                    <w:rFonts w:ascii="Cambria Math" w:hAnsi="Cambria Math"/>
                    <w:sz w:val="36"/>
                    <w:szCs w:val="36"/>
                    <w:lang w:eastAsia="ar-SA"/>
                  </w:rPr>
                  <m:t>Y</m:t>
                </m:r>
              </m:num>
              <m:den>
                <m:r>
                  <w:rPr>
                    <w:rFonts w:ascii="Cambria Math" w:hAnsi="Cambria Math"/>
                    <w:sz w:val="36"/>
                    <w:szCs w:val="36"/>
                    <w:lang w:eastAsia="ar-SA"/>
                  </w:rPr>
                  <m:t>X</m:t>
                </m:r>
              </m:den>
            </m:f>
          </m:e>
        </m:rad>
      </m:oMath>
      <w:r w:rsidRPr="003845FC">
        <w:rPr>
          <w:bCs/>
          <w:sz w:val="36"/>
          <w:szCs w:val="36"/>
          <w:lang w:eastAsia="ar-SA"/>
        </w:rPr>
        <w:t xml:space="preserve">  - 1</w:t>
      </w:r>
      <w:r w:rsidRPr="003845FC">
        <w:rPr>
          <w:bCs/>
          <w:sz w:val="36"/>
          <w:szCs w:val="36"/>
          <w:lang w:eastAsia="ar-SA"/>
        </w:rPr>
        <w:br/>
      </w:r>
    </w:p>
    <w:p w14:paraId="6B23D736" w14:textId="44051678" w:rsidR="003845FC" w:rsidRPr="003845FC" w:rsidRDefault="003845FC">
      <w:pPr>
        <w:widowControl w:val="0"/>
        <w:tabs>
          <w:tab w:val="center" w:pos="8051"/>
          <w:tab w:val="right" w:pos="12204"/>
        </w:tabs>
        <w:suppressAutoHyphens/>
        <w:autoSpaceDE w:val="0"/>
        <w:jc w:val="both"/>
        <w:rPr>
          <w:bCs/>
          <w:lang w:eastAsia="ar-SA"/>
        </w:rPr>
      </w:pPr>
      <w:r w:rsidRPr="003845FC">
        <w:rPr>
          <w:bCs/>
          <w:lang w:eastAsia="ar-SA"/>
        </w:rPr>
        <w:t>X - müügitul</w:t>
      </w:r>
      <w:r w:rsidR="00B65C1A">
        <w:rPr>
          <w:bCs/>
          <w:lang w:eastAsia="ar-SA"/>
        </w:rPr>
        <w:t>u/ lisandväärtus töötaja kohta/</w:t>
      </w:r>
      <w:r w:rsidRPr="003845FC">
        <w:rPr>
          <w:bCs/>
          <w:lang w:eastAsia="ar-SA"/>
        </w:rPr>
        <w:t xml:space="preserve">arenguplaani </w:t>
      </w:r>
      <w:r w:rsidR="000E3863">
        <w:rPr>
          <w:bCs/>
          <w:lang w:eastAsia="ar-SA"/>
        </w:rPr>
        <w:t>alustamisele järgneval</w:t>
      </w:r>
      <w:r w:rsidR="00B65C1A">
        <w:rPr>
          <w:bCs/>
          <w:lang w:eastAsia="ar-SA"/>
        </w:rPr>
        <w:t xml:space="preserve"> majandusaastal</w:t>
      </w:r>
      <w:r w:rsidRPr="003845FC">
        <w:rPr>
          <w:bCs/>
          <w:lang w:eastAsia="ar-SA"/>
        </w:rPr>
        <w:t>.</w:t>
      </w:r>
    </w:p>
    <w:p w14:paraId="590414FF" w14:textId="2E84B0BA" w:rsidR="003845FC" w:rsidRPr="003845FC" w:rsidRDefault="003845FC">
      <w:pPr>
        <w:widowControl w:val="0"/>
        <w:tabs>
          <w:tab w:val="center" w:pos="8051"/>
          <w:tab w:val="right" w:pos="12204"/>
        </w:tabs>
        <w:suppressAutoHyphens/>
        <w:autoSpaceDE w:val="0"/>
        <w:jc w:val="both"/>
        <w:rPr>
          <w:bCs/>
          <w:lang w:eastAsia="ar-SA"/>
        </w:rPr>
      </w:pPr>
      <w:r w:rsidRPr="003845FC">
        <w:rPr>
          <w:bCs/>
          <w:lang w:eastAsia="ar-SA"/>
        </w:rPr>
        <w:t xml:space="preserve">Y - müügitulu/ lisandväärtus töötaja kohta/ </w:t>
      </w:r>
      <w:r w:rsidR="000E3863">
        <w:rPr>
          <w:bCs/>
          <w:lang w:eastAsia="ar-SA"/>
        </w:rPr>
        <w:t>kaks majandusaastat peale arenguplaani lõppemist</w:t>
      </w:r>
      <w:r w:rsidRPr="003845FC">
        <w:rPr>
          <w:bCs/>
          <w:lang w:eastAsia="ar-SA"/>
        </w:rPr>
        <w:t>.</w:t>
      </w:r>
    </w:p>
    <w:p w14:paraId="0CA66783" w14:textId="36A2A22B" w:rsidR="003845FC" w:rsidRPr="003845FC" w:rsidRDefault="003845FC">
      <w:pPr>
        <w:widowControl w:val="0"/>
        <w:tabs>
          <w:tab w:val="center" w:pos="8051"/>
          <w:tab w:val="right" w:pos="12204"/>
        </w:tabs>
        <w:suppressAutoHyphens/>
        <w:autoSpaceDE w:val="0"/>
        <w:jc w:val="both"/>
        <w:rPr>
          <w:bCs/>
          <w:lang w:eastAsia="ar-SA"/>
        </w:rPr>
      </w:pPr>
      <w:r w:rsidRPr="003845FC">
        <w:rPr>
          <w:bCs/>
          <w:lang w:eastAsia="ar-SA"/>
        </w:rPr>
        <w:t xml:space="preserve">Z </w:t>
      </w:r>
      <w:r w:rsidR="000E3863">
        <w:rPr>
          <w:bCs/>
          <w:lang w:eastAsia="ar-SA"/>
        </w:rPr>
        <w:t xml:space="preserve"> </w:t>
      </w:r>
      <w:r w:rsidRPr="003845FC">
        <w:rPr>
          <w:bCs/>
          <w:lang w:eastAsia="ar-SA"/>
        </w:rPr>
        <w:t xml:space="preserve">– </w:t>
      </w:r>
      <w:r w:rsidR="000E3863">
        <w:rPr>
          <w:bCs/>
          <w:lang w:eastAsia="ar-SA"/>
        </w:rPr>
        <w:t xml:space="preserve"> </w:t>
      </w:r>
      <w:r w:rsidRPr="003845FC">
        <w:rPr>
          <w:bCs/>
          <w:lang w:eastAsia="ar-SA"/>
        </w:rPr>
        <w:t>aasta keskmine kasv.</w:t>
      </w:r>
    </w:p>
    <w:p w14:paraId="66DDBD24" w14:textId="77777777" w:rsidR="003845FC" w:rsidRPr="003845FC" w:rsidRDefault="003845FC">
      <w:pPr>
        <w:widowControl w:val="0"/>
        <w:tabs>
          <w:tab w:val="center" w:pos="8051"/>
          <w:tab w:val="right" w:pos="12204"/>
        </w:tabs>
        <w:suppressAutoHyphens/>
        <w:autoSpaceDE w:val="0"/>
        <w:jc w:val="both"/>
        <w:rPr>
          <w:bCs/>
          <w:lang w:eastAsia="ar-SA"/>
        </w:rPr>
      </w:pPr>
    </w:p>
    <w:p w14:paraId="63AE02E4" w14:textId="77777777" w:rsidR="00F10C57" w:rsidRPr="002E6552" w:rsidRDefault="00F10C57" w:rsidP="004346E8">
      <w:pPr>
        <w:widowControl w:val="0"/>
        <w:tabs>
          <w:tab w:val="center" w:pos="4938"/>
          <w:tab w:val="right" w:pos="9091"/>
        </w:tabs>
        <w:autoSpaceDE w:val="0"/>
        <w:jc w:val="both"/>
        <w:rPr>
          <w:rFonts w:eastAsia="Arial Unicode MS"/>
        </w:rPr>
      </w:pPr>
      <w:r w:rsidRPr="002E6552">
        <w:rPr>
          <w:rFonts w:eastAsia="Arial Unicode MS"/>
          <w:u w:val="single"/>
        </w:rPr>
        <w:t>Eelnõu § 3</w:t>
      </w:r>
      <w:r w:rsidRPr="002E6552">
        <w:rPr>
          <w:rFonts w:eastAsia="Arial Unicode MS"/>
        </w:rPr>
        <w:t xml:space="preserve"> nimetab meetme rakendusasutuse ja rakendusüksuse.</w:t>
      </w:r>
    </w:p>
    <w:p w14:paraId="25B1C57D" w14:textId="77777777" w:rsidR="00F10C57" w:rsidRPr="002E6552" w:rsidRDefault="00F10C57" w:rsidP="004346E8">
      <w:pPr>
        <w:widowControl w:val="0"/>
        <w:tabs>
          <w:tab w:val="center" w:pos="4938"/>
          <w:tab w:val="right" w:pos="9091"/>
        </w:tabs>
        <w:autoSpaceDE w:val="0"/>
        <w:jc w:val="both"/>
        <w:rPr>
          <w:rFonts w:eastAsia="Arial Unicode MS"/>
          <w:u w:val="single"/>
        </w:rPr>
      </w:pPr>
    </w:p>
    <w:p w14:paraId="2FF20C07" w14:textId="05437015" w:rsidR="00F10C57" w:rsidRPr="002E6552" w:rsidRDefault="00F10C57" w:rsidP="004346E8">
      <w:pPr>
        <w:widowControl w:val="0"/>
        <w:tabs>
          <w:tab w:val="center" w:pos="4938"/>
          <w:tab w:val="right" w:pos="9091"/>
        </w:tabs>
        <w:autoSpaceDE w:val="0"/>
        <w:jc w:val="both"/>
        <w:rPr>
          <w:lang w:eastAsia="et-EE"/>
        </w:rPr>
      </w:pPr>
      <w:r w:rsidRPr="002E6552">
        <w:rPr>
          <w:rFonts w:eastAsia="Arial Unicode MS"/>
        </w:rPr>
        <w:t xml:space="preserve">Määruse rakendamisel täidab </w:t>
      </w:r>
      <w:r w:rsidRPr="002E6552">
        <w:rPr>
          <w:lang w:eastAsia="et-EE"/>
        </w:rPr>
        <w:t>rakendusasutuse ülesan</w:t>
      </w:r>
      <w:r w:rsidR="00CE1799" w:rsidRPr="002E6552">
        <w:rPr>
          <w:lang w:eastAsia="et-EE"/>
        </w:rPr>
        <w:t>deid ministeerium ja rakendusüksuse ülesandeid Et</w:t>
      </w:r>
      <w:r w:rsidR="004A5645">
        <w:rPr>
          <w:lang w:eastAsia="et-EE"/>
        </w:rPr>
        <w:t>tevõtluse Arendamise Sihtasutus.</w:t>
      </w:r>
      <w:r w:rsidR="00CE1799" w:rsidRPr="002E6552">
        <w:rPr>
          <w:lang w:eastAsia="et-EE"/>
        </w:rPr>
        <w:t xml:space="preserve"> </w:t>
      </w:r>
      <w:r w:rsidR="004346E8">
        <w:rPr>
          <w:lang w:eastAsia="et-EE"/>
        </w:rPr>
        <w:t>Rakendusüksus</w:t>
      </w:r>
      <w:r w:rsidRPr="002E6552">
        <w:rPr>
          <w:lang w:eastAsia="et-EE"/>
        </w:rPr>
        <w:t xml:space="preserve"> ja rakendusasutu</w:t>
      </w:r>
      <w:r w:rsidR="004346E8">
        <w:rPr>
          <w:lang w:eastAsia="et-EE"/>
        </w:rPr>
        <w:t xml:space="preserve">s </w:t>
      </w:r>
      <w:r w:rsidRPr="002E6552">
        <w:rPr>
          <w:lang w:eastAsia="et-EE"/>
        </w:rPr>
        <w:t xml:space="preserve">määratakse ära </w:t>
      </w:r>
      <w:r w:rsidR="004346E8" w:rsidRPr="004346E8">
        <w:rPr>
          <w:lang w:eastAsia="et-EE"/>
        </w:rPr>
        <w:t>perioodi 2014–2020 struktuuritoetuse seaduse (edaspidi struktuuritoet</w:t>
      </w:r>
      <w:r w:rsidR="004346E8">
        <w:rPr>
          <w:lang w:eastAsia="et-EE"/>
        </w:rPr>
        <w:t>use seadus) § 12 lõike 3 alusel.</w:t>
      </w:r>
    </w:p>
    <w:p w14:paraId="73C4242F" w14:textId="77777777" w:rsidR="00F10C57" w:rsidRPr="002E6552" w:rsidRDefault="00F10C57" w:rsidP="004346E8">
      <w:pPr>
        <w:widowControl w:val="0"/>
        <w:tabs>
          <w:tab w:val="center" w:pos="4938"/>
          <w:tab w:val="right" w:pos="9091"/>
        </w:tabs>
        <w:autoSpaceDE w:val="0"/>
        <w:jc w:val="both"/>
        <w:rPr>
          <w:rFonts w:eastAsia="Arial Unicode MS"/>
          <w:u w:val="single"/>
        </w:rPr>
      </w:pPr>
    </w:p>
    <w:p w14:paraId="46AD0F64" w14:textId="77777777" w:rsidR="00CE1799" w:rsidRPr="002E6552" w:rsidRDefault="00F10C57" w:rsidP="004346E8">
      <w:pPr>
        <w:jc w:val="both"/>
        <w:rPr>
          <w:rFonts w:eastAsia="Arial Unicode MS"/>
        </w:rPr>
      </w:pPr>
      <w:r w:rsidRPr="002E6552">
        <w:rPr>
          <w:rFonts w:eastAsia="Arial Unicode MS"/>
          <w:u w:val="single"/>
        </w:rPr>
        <w:t>Eelnõu § 4</w:t>
      </w:r>
      <w:r w:rsidRPr="002E6552">
        <w:rPr>
          <w:rFonts w:eastAsia="Arial Unicode MS"/>
        </w:rPr>
        <w:t xml:space="preserve"> koond</w:t>
      </w:r>
      <w:r w:rsidR="002A7826">
        <w:rPr>
          <w:rFonts w:eastAsia="Arial Unicode MS"/>
        </w:rPr>
        <w:t>ab määruses läbivalt kasutatavad termin</w:t>
      </w:r>
      <w:r w:rsidRPr="002E6552">
        <w:rPr>
          <w:rFonts w:eastAsia="Arial Unicode MS"/>
        </w:rPr>
        <w:t xml:space="preserve">id. </w:t>
      </w:r>
    </w:p>
    <w:p w14:paraId="7188E7A2" w14:textId="77777777" w:rsidR="006144D7" w:rsidRDefault="006144D7" w:rsidP="004346E8">
      <w:pPr>
        <w:jc w:val="both"/>
        <w:rPr>
          <w:rFonts w:eastAsia="Arial Unicode MS"/>
        </w:rPr>
      </w:pPr>
    </w:p>
    <w:p w14:paraId="783453F4" w14:textId="77777777" w:rsidR="00F10C57" w:rsidRPr="002E6552" w:rsidRDefault="00F10C57" w:rsidP="004346E8">
      <w:pPr>
        <w:jc w:val="both"/>
        <w:rPr>
          <w:rFonts w:eastAsia="Arial Unicode MS"/>
        </w:rPr>
      </w:pPr>
      <w:r w:rsidRPr="002E6552">
        <w:rPr>
          <w:rFonts w:eastAsia="Arial Unicode MS"/>
        </w:rPr>
        <w:t>Terminid, mida määruses kasu</w:t>
      </w:r>
      <w:r w:rsidR="002A7826">
        <w:rPr>
          <w:rFonts w:eastAsia="Arial Unicode MS"/>
        </w:rPr>
        <w:t>tatakse, on enamjaolt samad, mis on sätestatud</w:t>
      </w:r>
      <w:r w:rsidRPr="002E6552">
        <w:rPr>
          <w:rFonts w:eastAsia="Arial Unicode MS"/>
        </w:rPr>
        <w:t xml:space="preserve"> struktuuritoetuse seaduses ning seega ei ole neid käesolevas määruses korratud. Määruses on </w:t>
      </w:r>
      <w:r w:rsidR="003845FC">
        <w:rPr>
          <w:rFonts w:eastAsia="Arial Unicode MS"/>
        </w:rPr>
        <w:t>lahti seletatud neli</w:t>
      </w:r>
      <w:r w:rsidRPr="002E6552">
        <w:rPr>
          <w:rFonts w:eastAsia="Arial Unicode MS"/>
        </w:rPr>
        <w:t xml:space="preserve"> terminit, mis on asjakohased ja vajalikud käesoleva m</w:t>
      </w:r>
      <w:r w:rsidR="003C5E68">
        <w:rPr>
          <w:rFonts w:eastAsia="Arial Unicode MS"/>
        </w:rPr>
        <w:t xml:space="preserve">ääruse rakendamiseks. Nimetatud </w:t>
      </w:r>
      <w:r w:rsidR="00A52323" w:rsidRPr="002E6552">
        <w:rPr>
          <w:rFonts w:eastAsia="Arial Unicode MS"/>
        </w:rPr>
        <w:t>terminitest vajavad eraldi välja toomist järgmised</w:t>
      </w:r>
      <w:r w:rsidRPr="002E6552">
        <w:rPr>
          <w:rFonts w:eastAsia="Arial Unicode MS"/>
        </w:rPr>
        <w:t xml:space="preserve">: </w:t>
      </w:r>
    </w:p>
    <w:p w14:paraId="0A85B5AC" w14:textId="5B203863" w:rsidR="003845FC" w:rsidRPr="003845FC" w:rsidRDefault="003845FC" w:rsidP="004346E8">
      <w:pPr>
        <w:pStyle w:val="ListParagraph"/>
        <w:numPr>
          <w:ilvl w:val="0"/>
          <w:numId w:val="34"/>
        </w:numPr>
        <w:spacing w:line="240" w:lineRule="auto"/>
        <w:jc w:val="both"/>
        <w:rPr>
          <w:rFonts w:ascii="Times New Roman" w:eastAsia="Arial Unicode MS" w:hAnsi="Times New Roman"/>
          <w:sz w:val="24"/>
          <w:szCs w:val="24"/>
        </w:rPr>
      </w:pPr>
      <w:r>
        <w:rPr>
          <w:rFonts w:ascii="Times New Roman" w:eastAsia="Arial Unicode MS" w:hAnsi="Times New Roman"/>
          <w:sz w:val="24"/>
          <w:szCs w:val="24"/>
        </w:rPr>
        <w:t xml:space="preserve">nutika spetsialiseerumise kasvualade ja nende alamvaldkondade termin. </w:t>
      </w:r>
      <w:r w:rsidR="00FD3A41">
        <w:rPr>
          <w:rFonts w:ascii="Times New Roman" w:eastAsia="Arial Unicode MS" w:hAnsi="Times New Roman"/>
          <w:sz w:val="24"/>
          <w:szCs w:val="24"/>
        </w:rPr>
        <w:t>N</w:t>
      </w:r>
      <w:r w:rsidRPr="003845FC">
        <w:rPr>
          <w:rFonts w:ascii="Times New Roman" w:eastAsia="Arial Unicode MS" w:hAnsi="Times New Roman"/>
          <w:sz w:val="24"/>
          <w:szCs w:val="24"/>
        </w:rPr>
        <w:t>utika spetsialiseerumise kasvualad on info- ja kommunikatsioonitehnoloogia kasutamine horisontaalselt läbi teiste sektorite, tervisetehnoloogiad ja -teenused ning ressursside efektiivsem kasutamine.</w:t>
      </w:r>
      <w:r w:rsidR="004346E8">
        <w:rPr>
          <w:rFonts w:ascii="Times New Roman" w:eastAsia="Arial Unicode MS" w:hAnsi="Times New Roman"/>
          <w:sz w:val="24"/>
          <w:szCs w:val="24"/>
        </w:rPr>
        <w:t xml:space="preserve"> Täpsem nutika spetsialiseerumise kasvualade hindamisjuhend tehakse kättesaadavaks nii AFi kui ka rakendusüksuse kodulehel</w:t>
      </w:r>
      <w:r w:rsidRPr="003845FC">
        <w:rPr>
          <w:rFonts w:ascii="Times New Roman" w:eastAsia="Arial Unicode MS" w:hAnsi="Times New Roman"/>
          <w:sz w:val="24"/>
          <w:szCs w:val="24"/>
        </w:rPr>
        <w:t>;</w:t>
      </w:r>
    </w:p>
    <w:p w14:paraId="46974F0A" w14:textId="77777777" w:rsidR="003845FC" w:rsidRPr="003845FC" w:rsidRDefault="003845FC" w:rsidP="004346E8">
      <w:pPr>
        <w:pStyle w:val="ListParagraph"/>
        <w:numPr>
          <w:ilvl w:val="0"/>
          <w:numId w:val="34"/>
        </w:numPr>
        <w:spacing w:line="240" w:lineRule="auto"/>
        <w:jc w:val="both"/>
        <w:rPr>
          <w:rFonts w:ascii="Times New Roman" w:eastAsia="Arial Unicode MS" w:hAnsi="Times New Roman"/>
          <w:sz w:val="24"/>
          <w:szCs w:val="24"/>
        </w:rPr>
      </w:pPr>
      <w:r w:rsidRPr="003845FC">
        <w:rPr>
          <w:rFonts w:ascii="Times New Roman" w:eastAsia="Arial Unicode MS" w:hAnsi="Times New Roman"/>
          <w:sz w:val="24"/>
          <w:szCs w:val="24"/>
        </w:rPr>
        <w:t>arendustöötaja on ettevõtja töötaja, kelle tööülesanneteks on uute toote-  ja teenuse arendamise, protsesside arendamise ja müügi- ja turundustegevuse arendamisega seotud aluspõhimõtete, strateegiate ja nendega seotud tegevuskavade ning üksiktegevuste väljatöötamine ja ettevõtja äripraktikas rakendamine</w:t>
      </w:r>
      <w:r>
        <w:rPr>
          <w:rFonts w:ascii="Times New Roman" w:eastAsia="Arial Unicode MS" w:hAnsi="Times New Roman"/>
          <w:sz w:val="24"/>
          <w:szCs w:val="24"/>
        </w:rPr>
        <w:t>. Arendustöötaja ühemõtteline terminina lahtiseletamine on seotud organistasiooniinnovatsiooniks ette nähtud</w:t>
      </w:r>
      <w:r w:rsidR="00A8165C">
        <w:rPr>
          <w:rFonts w:ascii="Times New Roman" w:eastAsia="Arial Unicode MS" w:hAnsi="Times New Roman"/>
          <w:sz w:val="24"/>
          <w:szCs w:val="24"/>
        </w:rPr>
        <w:t xml:space="preserve"> riigiabi tingimustega, mis sättestavad, millistel juhtudel saab arendustöötajaga seotud tegevuste rahastamisel antud abiliiki kasutada.</w:t>
      </w:r>
    </w:p>
    <w:p w14:paraId="35C01E61" w14:textId="77777777" w:rsidR="003845FC" w:rsidRDefault="003845FC" w:rsidP="004346E8">
      <w:pPr>
        <w:jc w:val="both"/>
        <w:rPr>
          <w:rFonts w:eastAsia="Arial Unicode MS"/>
          <w:u w:val="single"/>
        </w:rPr>
      </w:pPr>
    </w:p>
    <w:p w14:paraId="265A50B9" w14:textId="77777777" w:rsidR="00E17AE1" w:rsidRPr="002E6552" w:rsidRDefault="00D604D1" w:rsidP="004346E8">
      <w:pPr>
        <w:jc w:val="both"/>
        <w:rPr>
          <w:rFonts w:eastAsia="Arial Unicode MS"/>
        </w:rPr>
      </w:pPr>
      <w:r w:rsidRPr="002E6552">
        <w:rPr>
          <w:rFonts w:eastAsia="Arial Unicode MS"/>
          <w:u w:val="single"/>
        </w:rPr>
        <w:t>Eelnõu § 5</w:t>
      </w:r>
      <w:r w:rsidRPr="002E6552">
        <w:rPr>
          <w:rFonts w:eastAsia="Arial Unicode MS"/>
        </w:rPr>
        <w:t xml:space="preserve"> </w:t>
      </w:r>
      <w:r w:rsidR="00A8165C">
        <w:rPr>
          <w:rFonts w:eastAsia="Arial Unicode MS"/>
        </w:rPr>
        <w:t>selgitab ettevõtja arenguplaan</w:t>
      </w:r>
      <w:r w:rsidR="00C466CA">
        <w:rPr>
          <w:rFonts w:eastAsia="Arial Unicode MS"/>
        </w:rPr>
        <w:t>i</w:t>
      </w:r>
      <w:r w:rsidR="00A8165C">
        <w:rPr>
          <w:rFonts w:eastAsia="Arial Unicode MS"/>
        </w:rPr>
        <w:t xml:space="preserve"> sisu ja  kaasnevaid tingimusi.</w:t>
      </w:r>
      <w:r w:rsidR="00E17AE1" w:rsidRPr="002E6552">
        <w:rPr>
          <w:rFonts w:eastAsia="Arial Unicode MS"/>
        </w:rPr>
        <w:t xml:space="preserve"> </w:t>
      </w:r>
    </w:p>
    <w:p w14:paraId="71D788BE" w14:textId="77777777" w:rsidR="00A84334" w:rsidRDefault="00A84334" w:rsidP="004346E8">
      <w:pPr>
        <w:jc w:val="both"/>
        <w:rPr>
          <w:rFonts w:eastAsia="Arial Unicode MS"/>
        </w:rPr>
      </w:pPr>
    </w:p>
    <w:p w14:paraId="74A5E26C" w14:textId="2EB78EBB" w:rsidR="00EE65D8" w:rsidRDefault="00EE65D8" w:rsidP="004346E8">
      <w:pPr>
        <w:jc w:val="both"/>
        <w:rPr>
          <w:rFonts w:eastAsia="Arial Unicode MS"/>
        </w:rPr>
      </w:pPr>
      <w:r w:rsidRPr="00EE65D8">
        <w:rPr>
          <w:rFonts w:eastAsia="Arial Unicode MS"/>
        </w:rPr>
        <w:t xml:space="preserve">Oma olemuselt on arenguplaan </w:t>
      </w:r>
      <w:r w:rsidR="00A84334">
        <w:rPr>
          <w:rFonts w:eastAsia="Arial Unicode MS"/>
        </w:rPr>
        <w:t>ettevõtja arendustegevuste tegevuskava, kus on ära toodud</w:t>
      </w:r>
      <w:r w:rsidRPr="00EE65D8">
        <w:rPr>
          <w:rFonts w:eastAsia="Arial Unicode MS"/>
        </w:rPr>
        <w:t xml:space="preserve"> ettevõtja suur ehk strateegiline eesmärk, üksiktegevuste lühikirje</w:t>
      </w:r>
      <w:r w:rsidR="004346E8">
        <w:rPr>
          <w:rFonts w:eastAsia="Arial Unicode MS"/>
        </w:rPr>
        <w:t xml:space="preserve">ldus koos oodatavate tulemuste ning </w:t>
      </w:r>
      <w:r w:rsidR="004346E8" w:rsidRPr="004346E8">
        <w:rPr>
          <w:rFonts w:eastAsia="Arial Unicode MS"/>
        </w:rPr>
        <w:t>põhjendusega kuidas valitud tegevus aitab strateegilist eesmärki saavutada</w:t>
      </w:r>
      <w:r w:rsidRPr="00EE65D8">
        <w:rPr>
          <w:rFonts w:eastAsia="Arial Unicode MS"/>
        </w:rPr>
        <w:t xml:space="preserve">, tegevuste rahaline vajadus ja rahastamisallikas, </w:t>
      </w:r>
      <w:r w:rsidR="00A84334">
        <w:rPr>
          <w:rFonts w:eastAsia="Arial Unicode MS"/>
        </w:rPr>
        <w:t>tähtaeg ning  üksiktegevuste seo</w:t>
      </w:r>
      <w:r w:rsidRPr="00EE65D8">
        <w:rPr>
          <w:rFonts w:eastAsia="Arial Unicode MS"/>
        </w:rPr>
        <w:t>s teiste arenguplaani tegevustega.</w:t>
      </w:r>
      <w:r>
        <w:rPr>
          <w:rFonts w:eastAsia="Arial Unicode MS"/>
        </w:rPr>
        <w:t xml:space="preserve"> Siinkohal tuleb rõhutada arenguplaani olulisust infoallik</w:t>
      </w:r>
      <w:r w:rsidR="00FD3A41">
        <w:rPr>
          <w:rFonts w:eastAsia="Arial Unicode MS"/>
        </w:rPr>
        <w:t>a</w:t>
      </w:r>
      <w:r>
        <w:rPr>
          <w:rFonts w:eastAsia="Arial Unicode MS"/>
        </w:rPr>
        <w:t>na, mis kirjeldab</w:t>
      </w:r>
      <w:r w:rsidR="008556AD">
        <w:rPr>
          <w:rFonts w:eastAsia="Arial Unicode MS"/>
        </w:rPr>
        <w:t xml:space="preserve"> </w:t>
      </w:r>
      <w:r w:rsidR="006144D7">
        <w:rPr>
          <w:rFonts w:eastAsia="Arial Unicode MS"/>
        </w:rPr>
        <w:t>erinevate tegevuste omavahelisi</w:t>
      </w:r>
      <w:r w:rsidR="008556AD">
        <w:rPr>
          <w:rFonts w:eastAsia="Arial Unicode MS"/>
        </w:rPr>
        <w:t xml:space="preserve"> seose</w:t>
      </w:r>
      <w:r w:rsidR="006144D7">
        <w:rPr>
          <w:rFonts w:eastAsia="Arial Unicode MS"/>
        </w:rPr>
        <w:t>i</w:t>
      </w:r>
      <w:r w:rsidR="008556AD">
        <w:rPr>
          <w:rFonts w:eastAsia="Arial Unicode MS"/>
        </w:rPr>
        <w:t>d</w:t>
      </w:r>
      <w:r>
        <w:rPr>
          <w:rFonts w:eastAsia="Arial Unicode MS"/>
        </w:rPr>
        <w:t>. Tihtipeale sõltub ühe tegevuse edukusest järgmise tegevuse täpne sisu ja ajakava. Näiteks kui ettevõtja uue toote arendustöö viibib või uue toote funktsionaalsus arendustöö käigus muutub, siis tuleb seda arvesse võtta ka uue toote turundusstrateegias.</w:t>
      </w:r>
    </w:p>
    <w:p w14:paraId="1AEC3DC0" w14:textId="77777777" w:rsidR="00EE65D8" w:rsidRDefault="00EE65D8" w:rsidP="004346E8">
      <w:pPr>
        <w:jc w:val="both"/>
        <w:rPr>
          <w:rFonts w:eastAsia="Arial Unicode MS"/>
        </w:rPr>
      </w:pPr>
    </w:p>
    <w:p w14:paraId="7409B39B" w14:textId="2F754875" w:rsidR="00FA2FE6" w:rsidRDefault="00EE65D8" w:rsidP="004346E8">
      <w:pPr>
        <w:jc w:val="both"/>
        <w:rPr>
          <w:rFonts w:eastAsia="Arial Unicode MS"/>
        </w:rPr>
      </w:pPr>
      <w:r>
        <w:rPr>
          <w:rFonts w:eastAsia="Arial Unicode MS"/>
        </w:rPr>
        <w:t>Rakendusüksuse poolt vaadatuna annab e</w:t>
      </w:r>
      <w:r w:rsidR="00A8165C">
        <w:rPr>
          <w:rFonts w:eastAsia="Arial Unicode MS"/>
        </w:rPr>
        <w:t>ttevõtja arenguplaan ühelt poolt teavet toetuse andmise</w:t>
      </w:r>
      <w:r w:rsidR="006144D7">
        <w:rPr>
          <w:rFonts w:eastAsia="Arial Unicode MS"/>
        </w:rPr>
        <w:t>ga seotud tingimuste täitmisest</w:t>
      </w:r>
      <w:r>
        <w:rPr>
          <w:rFonts w:eastAsia="Arial Unicode MS"/>
        </w:rPr>
        <w:t xml:space="preserve"> ning samas aitab ka hinnata</w:t>
      </w:r>
      <w:r w:rsidR="00A8165C">
        <w:rPr>
          <w:rFonts w:eastAsia="Arial Unicode MS"/>
        </w:rPr>
        <w:t xml:space="preserve"> toetusega läbi viidavate tegevuste</w:t>
      </w:r>
      <w:r>
        <w:rPr>
          <w:rFonts w:eastAsia="Arial Unicode MS"/>
        </w:rPr>
        <w:t xml:space="preserve"> edukust. Teisalt on ettevõtja arenguplaan oluline abivahend ka ettevõtjale </w:t>
      </w:r>
      <w:r w:rsidR="00A84334">
        <w:rPr>
          <w:rFonts w:eastAsia="Arial Unicode MS"/>
        </w:rPr>
        <w:t xml:space="preserve">endale </w:t>
      </w:r>
      <w:r>
        <w:rPr>
          <w:rFonts w:eastAsia="Arial Unicode MS"/>
        </w:rPr>
        <w:t xml:space="preserve">tegevuste elluviimisel ja hindamisel. </w:t>
      </w:r>
    </w:p>
    <w:p w14:paraId="333C3EBD" w14:textId="77777777" w:rsidR="00EE65D8" w:rsidRDefault="00EE65D8" w:rsidP="004346E8">
      <w:pPr>
        <w:jc w:val="both"/>
        <w:rPr>
          <w:rFonts w:eastAsia="Arial Unicode MS"/>
        </w:rPr>
      </w:pPr>
    </w:p>
    <w:p w14:paraId="293FB533" w14:textId="632C7851" w:rsidR="00EE65D8" w:rsidRPr="002E6552" w:rsidRDefault="00EE65D8" w:rsidP="004346E8">
      <w:pPr>
        <w:jc w:val="both"/>
        <w:rPr>
          <w:rFonts w:eastAsia="Arial Unicode MS"/>
        </w:rPr>
      </w:pPr>
      <w:r>
        <w:rPr>
          <w:rFonts w:eastAsia="Arial Unicode MS"/>
        </w:rPr>
        <w:t xml:space="preserve">Ühtlasi sätestatakse paragrahvis, et </w:t>
      </w:r>
      <w:r w:rsidR="004346E8">
        <w:rPr>
          <w:rFonts w:eastAsia="Arial Unicode MS"/>
        </w:rPr>
        <w:t>t</w:t>
      </w:r>
      <w:r w:rsidR="004346E8" w:rsidRPr="004346E8">
        <w:rPr>
          <w:rFonts w:eastAsia="Arial Unicode MS"/>
        </w:rPr>
        <w:t>oetuse taotlemise eelduseks on rakendusüksuse poolt arenguplaani heaks kiitmine</w:t>
      </w:r>
      <w:r w:rsidR="004346E8">
        <w:rPr>
          <w:rFonts w:eastAsia="Arial Unicode MS"/>
        </w:rPr>
        <w:t>.</w:t>
      </w:r>
      <w:r w:rsidR="004346E8" w:rsidRPr="004346E8">
        <w:rPr>
          <w:rFonts w:eastAsia="Arial Unicode MS"/>
        </w:rPr>
        <w:t xml:space="preserve"> </w:t>
      </w:r>
    </w:p>
    <w:p w14:paraId="0C172585" w14:textId="77777777" w:rsidR="00D25795" w:rsidRPr="002E6552" w:rsidRDefault="00D25795" w:rsidP="004346E8">
      <w:pPr>
        <w:jc w:val="both"/>
        <w:rPr>
          <w:rFonts w:eastAsia="Arial Unicode MS"/>
        </w:rPr>
      </w:pPr>
    </w:p>
    <w:p w14:paraId="6F07176F" w14:textId="77777777" w:rsidR="00D604D1" w:rsidRPr="002E6552" w:rsidRDefault="00D604D1" w:rsidP="004346E8">
      <w:pPr>
        <w:jc w:val="both"/>
        <w:rPr>
          <w:rFonts w:eastAsia="Arial Unicode MS"/>
        </w:rPr>
      </w:pPr>
      <w:r w:rsidRPr="002E6552">
        <w:rPr>
          <w:rFonts w:eastAsia="Arial Unicode MS"/>
          <w:u w:val="single"/>
        </w:rPr>
        <w:t xml:space="preserve">Eelnõu </w:t>
      </w:r>
      <w:r w:rsidR="00F2413C" w:rsidRPr="002E6552">
        <w:rPr>
          <w:rFonts w:eastAsia="Arial Unicode MS"/>
          <w:u w:val="single"/>
        </w:rPr>
        <w:t>§-s</w:t>
      </w:r>
      <w:r w:rsidR="00A8165C">
        <w:rPr>
          <w:rFonts w:eastAsia="Arial Unicode MS"/>
          <w:u w:val="single"/>
        </w:rPr>
        <w:t xml:space="preserve"> 6</w:t>
      </w:r>
      <w:r w:rsidR="00F2413C" w:rsidRPr="002E6552">
        <w:rPr>
          <w:rFonts w:eastAsia="Arial Unicode MS"/>
        </w:rPr>
        <w:t xml:space="preserve"> sätestatakse</w:t>
      </w:r>
      <w:r w:rsidR="005F1771">
        <w:rPr>
          <w:rFonts w:eastAsia="Arial Unicode MS"/>
        </w:rPr>
        <w:t xml:space="preserve"> vaide esitamise õigus ning vaideorgan</w:t>
      </w:r>
      <w:r w:rsidR="00F10C57" w:rsidRPr="002E6552">
        <w:rPr>
          <w:rFonts w:eastAsia="Arial Unicode MS"/>
        </w:rPr>
        <w:t xml:space="preserve">.  </w:t>
      </w:r>
    </w:p>
    <w:p w14:paraId="7E1AFF65" w14:textId="77777777" w:rsidR="00A84334" w:rsidRDefault="00A84334" w:rsidP="004346E8">
      <w:pPr>
        <w:jc w:val="both"/>
        <w:rPr>
          <w:rFonts w:eastAsia="Arial Unicode MS"/>
        </w:rPr>
      </w:pPr>
    </w:p>
    <w:p w14:paraId="6CC4D27B" w14:textId="65F5BAF3" w:rsidR="00F10C57" w:rsidRPr="002E6552" w:rsidRDefault="007D1DB5" w:rsidP="004346E8">
      <w:pPr>
        <w:jc w:val="both"/>
        <w:rPr>
          <w:rFonts w:eastAsia="Arial Unicode MS"/>
        </w:rPr>
      </w:pPr>
      <w:r>
        <w:rPr>
          <w:rFonts w:eastAsia="Arial Unicode MS"/>
        </w:rPr>
        <w:t>R</w:t>
      </w:r>
      <w:r w:rsidR="00F10C57" w:rsidRPr="002E6552">
        <w:rPr>
          <w:rFonts w:eastAsia="Arial Unicode MS"/>
        </w:rPr>
        <w:t>akendusüksuse toimingu või otsuse peale esitatakse vaie</w:t>
      </w:r>
      <w:r>
        <w:rPr>
          <w:rFonts w:eastAsia="Arial Unicode MS"/>
        </w:rPr>
        <w:t xml:space="preserve"> </w:t>
      </w:r>
      <w:r w:rsidR="00F10C57" w:rsidRPr="002E6552">
        <w:t>rakendusüksuse kaudu rakendusasutusele</w:t>
      </w:r>
      <w:r w:rsidR="00FD3A41">
        <w:t>, kes selle lahendab</w:t>
      </w:r>
      <w:r w:rsidR="00F10C57" w:rsidRPr="002E6552">
        <w:t>.</w:t>
      </w:r>
      <w:r w:rsidR="00F10C57" w:rsidRPr="002E6552">
        <w:rPr>
          <w:rFonts w:eastAsia="Arial Unicode MS"/>
        </w:rPr>
        <w:t xml:space="preserve"> </w:t>
      </w:r>
      <w:r w:rsidR="00A8165C" w:rsidRPr="00A8165C">
        <w:rPr>
          <w:rFonts w:eastAsia="Arial Unicode MS"/>
        </w:rPr>
        <w:t>Vaidemenetlusega seotud teave, dokumendid ja vaideotsus edastatakse vaide esitajale elektrooniliselt.</w:t>
      </w:r>
      <w:r w:rsidR="00A8165C">
        <w:rPr>
          <w:rFonts w:eastAsia="Arial Unicode MS"/>
        </w:rPr>
        <w:t xml:space="preserve"> </w:t>
      </w:r>
      <w:r w:rsidR="00F10C57" w:rsidRPr="002E6552">
        <w:rPr>
          <w:rFonts w:eastAsia="Arial Unicode MS"/>
        </w:rPr>
        <w:t>Vaideid lahendatakse tuginedes haldusmenetluse seadusele.</w:t>
      </w:r>
      <w:r w:rsidR="00F10C57" w:rsidRPr="002E6552">
        <w:t xml:space="preserve"> </w:t>
      </w:r>
      <w:r w:rsidR="00C466CA">
        <w:t xml:space="preserve">Isik võib esitada halduskohtule kaebuse pärast vaidemenetluse läbimist. </w:t>
      </w:r>
    </w:p>
    <w:p w14:paraId="55CB9E36" w14:textId="77777777" w:rsidR="00F10C57" w:rsidRPr="002E6552" w:rsidRDefault="00F10C57" w:rsidP="004346E8">
      <w:pPr>
        <w:widowControl w:val="0"/>
        <w:tabs>
          <w:tab w:val="center" w:pos="4938"/>
          <w:tab w:val="right" w:pos="9091"/>
        </w:tabs>
        <w:autoSpaceDE w:val="0"/>
        <w:jc w:val="both"/>
        <w:rPr>
          <w:lang w:eastAsia="et-EE"/>
        </w:rPr>
      </w:pPr>
    </w:p>
    <w:p w14:paraId="7F815C40" w14:textId="77777777" w:rsidR="00F10C57" w:rsidRPr="002E6552" w:rsidRDefault="00F10C57" w:rsidP="004346E8">
      <w:pPr>
        <w:pStyle w:val="Heading2"/>
        <w:rPr>
          <w:color w:val="auto"/>
        </w:rPr>
      </w:pPr>
      <w:r w:rsidRPr="002E6552">
        <w:rPr>
          <w:color w:val="auto"/>
        </w:rPr>
        <w:t>2. peatükk</w:t>
      </w:r>
    </w:p>
    <w:p w14:paraId="20BCECE7" w14:textId="77777777" w:rsidR="00F10C57" w:rsidRPr="002E6552" w:rsidRDefault="00F10C57" w:rsidP="004346E8">
      <w:pPr>
        <w:pStyle w:val="Heading2"/>
        <w:rPr>
          <w:color w:val="auto"/>
        </w:rPr>
      </w:pPr>
      <w:r w:rsidRPr="002E6552">
        <w:rPr>
          <w:color w:val="auto"/>
        </w:rPr>
        <w:t xml:space="preserve">Toetatavad tegevused, kulude abikõlblikkus ja toetuse määr </w:t>
      </w:r>
      <w:bookmarkStart w:id="2" w:name="ptk2"/>
      <w:bookmarkEnd w:id="2"/>
      <w:r w:rsidRPr="002E6552">
        <w:rPr>
          <w:color w:val="auto"/>
        </w:rPr>
        <w:t xml:space="preserve"> </w:t>
      </w:r>
    </w:p>
    <w:p w14:paraId="0AD911E5" w14:textId="77777777" w:rsidR="00F10C57" w:rsidRPr="002E6552" w:rsidRDefault="00F10C57" w:rsidP="004346E8">
      <w:pPr>
        <w:jc w:val="both"/>
      </w:pPr>
    </w:p>
    <w:p w14:paraId="4490259B" w14:textId="77777777" w:rsidR="00F10C57" w:rsidRPr="002E6552" w:rsidRDefault="00F10C57" w:rsidP="004346E8">
      <w:pPr>
        <w:jc w:val="both"/>
      </w:pPr>
      <w:r w:rsidRPr="002E6552">
        <w:lastRenderedPageBreak/>
        <w:t>Peatükk sätestab määruse raames toetatavad tegevused, abikõlblikud kulud, projekti abikõlblikkuse perioodi, toetuse, piirmäärad</w:t>
      </w:r>
      <w:r w:rsidR="00184067" w:rsidRPr="002E6552">
        <w:t xml:space="preserve">- ja summad ning nendega seotud </w:t>
      </w:r>
      <w:r w:rsidRPr="002E6552">
        <w:t>tingimused.</w:t>
      </w:r>
    </w:p>
    <w:p w14:paraId="68FF739D" w14:textId="77777777" w:rsidR="00F10C57" w:rsidRPr="002E6552" w:rsidRDefault="00F10C57" w:rsidP="004346E8">
      <w:pPr>
        <w:widowControl w:val="0"/>
        <w:tabs>
          <w:tab w:val="center" w:pos="4938"/>
          <w:tab w:val="right" w:pos="9091"/>
        </w:tabs>
        <w:autoSpaceDE w:val="0"/>
        <w:jc w:val="both"/>
        <w:rPr>
          <w:lang w:eastAsia="et-EE"/>
        </w:rPr>
      </w:pPr>
    </w:p>
    <w:p w14:paraId="2B0332BE" w14:textId="77777777" w:rsidR="00973C83" w:rsidRPr="002E6552" w:rsidRDefault="00F10C57" w:rsidP="004346E8">
      <w:pPr>
        <w:jc w:val="both"/>
      </w:pPr>
      <w:r w:rsidRPr="002E6552">
        <w:rPr>
          <w:rStyle w:val="Strong"/>
          <w:b w:val="0"/>
          <w:bCs w:val="0"/>
          <w:u w:val="single"/>
        </w:rPr>
        <w:t xml:space="preserve">Eelnõu § </w:t>
      </w:r>
      <w:bookmarkStart w:id="3" w:name="para5"/>
      <w:r w:rsidR="00226ADA">
        <w:rPr>
          <w:rStyle w:val="Strong"/>
          <w:b w:val="0"/>
          <w:bCs w:val="0"/>
          <w:u w:val="single"/>
        </w:rPr>
        <w:t>7</w:t>
      </w:r>
      <w:r w:rsidR="005F1771">
        <w:rPr>
          <w:rStyle w:val="Strong"/>
          <w:b w:val="0"/>
          <w:bCs w:val="0"/>
        </w:rPr>
        <w:t xml:space="preserve"> nimetab</w:t>
      </w:r>
      <w:r w:rsidR="00973C83" w:rsidRPr="002E6552">
        <w:rPr>
          <w:rStyle w:val="Strong"/>
          <w:b w:val="0"/>
          <w:bCs w:val="0"/>
        </w:rPr>
        <w:t xml:space="preserve"> määruse</w:t>
      </w:r>
      <w:r w:rsidRPr="002E6552">
        <w:rPr>
          <w:rStyle w:val="Strong"/>
          <w:b w:val="0"/>
          <w:bCs w:val="0"/>
        </w:rPr>
        <w:t xml:space="preserve"> raames </w:t>
      </w:r>
      <w:bookmarkEnd w:id="3"/>
      <w:r w:rsidRPr="002E6552">
        <w:rPr>
          <w:rStyle w:val="Strong"/>
          <w:b w:val="0"/>
          <w:bCs w:val="0"/>
        </w:rPr>
        <w:t>t</w:t>
      </w:r>
      <w:r w:rsidRPr="002E6552">
        <w:t xml:space="preserve">oetatavad tegevused. </w:t>
      </w:r>
    </w:p>
    <w:p w14:paraId="34BE5B4C" w14:textId="77777777" w:rsidR="00973C83" w:rsidRPr="002E6552" w:rsidRDefault="00973C83" w:rsidP="004346E8">
      <w:pPr>
        <w:jc w:val="both"/>
      </w:pPr>
    </w:p>
    <w:p w14:paraId="05C135E6" w14:textId="743BA71D" w:rsidR="00724FD1" w:rsidRDefault="00F10C57" w:rsidP="004346E8">
      <w:pPr>
        <w:jc w:val="both"/>
      </w:pPr>
      <w:r w:rsidRPr="002E6552">
        <w:t>Kõik teg</w:t>
      </w:r>
      <w:r w:rsidR="00724FD1">
        <w:t>evused, millele toetust antakse</w:t>
      </w:r>
      <w:r w:rsidR="00FD3A41">
        <w:t>,</w:t>
      </w:r>
      <w:r w:rsidRPr="002E6552">
        <w:t xml:space="preserve"> peavad </w:t>
      </w:r>
      <w:r w:rsidR="00724FD1">
        <w:t xml:space="preserve">olema seotud </w:t>
      </w:r>
      <w:r w:rsidR="00B44F79">
        <w:t xml:space="preserve">ja aitama kaasa </w:t>
      </w:r>
      <w:r w:rsidR="00724FD1">
        <w:t>ette</w:t>
      </w:r>
      <w:r w:rsidR="00B44F79">
        <w:t>võtja arenguplaani elluviimisele</w:t>
      </w:r>
      <w:r w:rsidR="00724FD1">
        <w:t>. Lisaks peavad kõik toetatavad tegevused aitama otseselt täita toetuse andmise eesmärke</w:t>
      </w:r>
      <w:r w:rsidR="00C616A8">
        <w:t>, milledeks on:</w:t>
      </w:r>
    </w:p>
    <w:p w14:paraId="603D7060" w14:textId="77777777" w:rsidR="00C616A8" w:rsidRPr="00C616A8" w:rsidRDefault="00C616A8" w:rsidP="004346E8">
      <w:pPr>
        <w:pStyle w:val="ListParagraph"/>
        <w:numPr>
          <w:ilvl w:val="0"/>
          <w:numId w:val="35"/>
        </w:numPr>
        <w:spacing w:line="240" w:lineRule="auto"/>
        <w:jc w:val="both"/>
        <w:rPr>
          <w:rFonts w:ascii="Times New Roman" w:hAnsi="Times New Roman"/>
          <w:sz w:val="24"/>
          <w:szCs w:val="24"/>
        </w:rPr>
      </w:pPr>
      <w:r w:rsidRPr="00C616A8">
        <w:rPr>
          <w:rFonts w:ascii="Times New Roman" w:hAnsi="Times New Roman"/>
          <w:sz w:val="24"/>
          <w:szCs w:val="24"/>
        </w:rPr>
        <w:t>ettevõtja pikaajalisel strateegilisel planeerimisel põhineva rahvusvahelise konkurentsivõime tõstmine;</w:t>
      </w:r>
    </w:p>
    <w:p w14:paraId="300CF914" w14:textId="77777777" w:rsidR="00C616A8" w:rsidRPr="00C616A8" w:rsidRDefault="00C616A8" w:rsidP="004346E8">
      <w:pPr>
        <w:pStyle w:val="ListParagraph"/>
        <w:numPr>
          <w:ilvl w:val="0"/>
          <w:numId w:val="35"/>
        </w:numPr>
        <w:spacing w:line="240" w:lineRule="auto"/>
        <w:rPr>
          <w:rFonts w:ascii="Times New Roman" w:hAnsi="Times New Roman"/>
          <w:sz w:val="24"/>
          <w:szCs w:val="24"/>
        </w:rPr>
      </w:pPr>
      <w:r w:rsidRPr="00C616A8">
        <w:rPr>
          <w:rFonts w:ascii="Times New Roman" w:hAnsi="Times New Roman"/>
          <w:sz w:val="24"/>
          <w:szCs w:val="24"/>
        </w:rPr>
        <w:t>ettevõtja üleminek senisest nutikama</w:t>
      </w:r>
      <w:r w:rsidR="00C36405">
        <w:rPr>
          <w:rFonts w:ascii="Times New Roman" w:hAnsi="Times New Roman"/>
          <w:sz w:val="24"/>
          <w:szCs w:val="24"/>
        </w:rPr>
        <w:t>te</w:t>
      </w:r>
      <w:r w:rsidRPr="00C616A8">
        <w:rPr>
          <w:rFonts w:ascii="Times New Roman" w:hAnsi="Times New Roman"/>
          <w:sz w:val="24"/>
          <w:szCs w:val="24"/>
        </w:rPr>
        <w:t>le tegevustele ja sellega kaasnev majandustulemuste paranemine.</w:t>
      </w:r>
    </w:p>
    <w:p w14:paraId="7CBC44CF" w14:textId="6703F693" w:rsidR="00883C3C" w:rsidRDefault="006144D7" w:rsidP="004346E8">
      <w:pPr>
        <w:jc w:val="both"/>
      </w:pPr>
      <w:r>
        <w:t>Eelnõu toetatavad</w:t>
      </w:r>
      <w:r w:rsidR="00C616A8">
        <w:t xml:space="preserve"> tegevused on jaotatud vastavalt ettevõtetes igapäevaselt läbi viidavatele tegevuste</w:t>
      </w:r>
      <w:r>
        <w:t>le</w:t>
      </w:r>
      <w:r w:rsidR="00C616A8">
        <w:t xml:space="preserve"> viieks põhitegevuseks:</w:t>
      </w:r>
    </w:p>
    <w:p w14:paraId="5DA8C384" w14:textId="77777777" w:rsidR="00C616A8" w:rsidRDefault="00C616A8" w:rsidP="004346E8">
      <w:pPr>
        <w:pStyle w:val="ListParagraph"/>
        <w:numPr>
          <w:ilvl w:val="0"/>
          <w:numId w:val="37"/>
        </w:numPr>
        <w:spacing w:line="240" w:lineRule="auto"/>
        <w:jc w:val="both"/>
        <w:rPr>
          <w:rFonts w:ascii="Times New Roman" w:hAnsi="Times New Roman"/>
          <w:sz w:val="24"/>
          <w:szCs w:val="24"/>
        </w:rPr>
      </w:pPr>
      <w:r>
        <w:rPr>
          <w:rFonts w:ascii="Times New Roman" w:hAnsi="Times New Roman"/>
          <w:sz w:val="24"/>
          <w:szCs w:val="24"/>
        </w:rPr>
        <w:t>personali arendustegevus;</w:t>
      </w:r>
    </w:p>
    <w:p w14:paraId="2E6184C8" w14:textId="77777777" w:rsidR="00C616A8" w:rsidRDefault="00C616A8" w:rsidP="004346E8">
      <w:pPr>
        <w:pStyle w:val="ListParagraph"/>
        <w:numPr>
          <w:ilvl w:val="0"/>
          <w:numId w:val="37"/>
        </w:numPr>
        <w:spacing w:line="240" w:lineRule="auto"/>
        <w:jc w:val="both"/>
        <w:rPr>
          <w:rFonts w:ascii="Times New Roman" w:hAnsi="Times New Roman"/>
          <w:sz w:val="24"/>
          <w:szCs w:val="24"/>
        </w:rPr>
      </w:pPr>
      <w:r>
        <w:rPr>
          <w:rFonts w:ascii="Times New Roman" w:hAnsi="Times New Roman"/>
          <w:sz w:val="24"/>
          <w:szCs w:val="24"/>
        </w:rPr>
        <w:t>protsesside arendustegevus;</w:t>
      </w:r>
    </w:p>
    <w:p w14:paraId="6E2FC0B9" w14:textId="49211287" w:rsidR="00C616A8" w:rsidRDefault="009F536E" w:rsidP="004346E8">
      <w:pPr>
        <w:pStyle w:val="ListParagraph"/>
        <w:numPr>
          <w:ilvl w:val="0"/>
          <w:numId w:val="37"/>
        </w:numPr>
        <w:spacing w:line="240" w:lineRule="auto"/>
        <w:jc w:val="both"/>
        <w:rPr>
          <w:rFonts w:ascii="Times New Roman" w:hAnsi="Times New Roman"/>
          <w:sz w:val="24"/>
          <w:szCs w:val="24"/>
        </w:rPr>
      </w:pPr>
      <w:r>
        <w:rPr>
          <w:rFonts w:ascii="Times New Roman" w:hAnsi="Times New Roman"/>
          <w:sz w:val="24"/>
          <w:szCs w:val="24"/>
        </w:rPr>
        <w:t>toote ja teenus</w:t>
      </w:r>
      <w:r w:rsidR="00C616A8">
        <w:rPr>
          <w:rFonts w:ascii="Times New Roman" w:hAnsi="Times New Roman"/>
          <w:sz w:val="24"/>
          <w:szCs w:val="24"/>
        </w:rPr>
        <w:t>e arendustegevus;</w:t>
      </w:r>
    </w:p>
    <w:p w14:paraId="390171C4" w14:textId="77777777" w:rsidR="00C616A8" w:rsidRDefault="00C616A8" w:rsidP="004346E8">
      <w:pPr>
        <w:pStyle w:val="ListParagraph"/>
        <w:numPr>
          <w:ilvl w:val="0"/>
          <w:numId w:val="37"/>
        </w:numPr>
        <w:spacing w:line="240" w:lineRule="auto"/>
        <w:jc w:val="both"/>
        <w:rPr>
          <w:rFonts w:ascii="Times New Roman" w:hAnsi="Times New Roman"/>
          <w:sz w:val="24"/>
          <w:szCs w:val="24"/>
        </w:rPr>
      </w:pPr>
      <w:r>
        <w:rPr>
          <w:rFonts w:ascii="Times New Roman" w:hAnsi="Times New Roman"/>
          <w:sz w:val="24"/>
          <w:szCs w:val="24"/>
        </w:rPr>
        <w:t>turundus- ja müügitegevus ja selle arendustegevus;</w:t>
      </w:r>
    </w:p>
    <w:p w14:paraId="07765016" w14:textId="3194D894" w:rsidR="00C616A8" w:rsidRPr="00C616A8" w:rsidRDefault="00B44F79" w:rsidP="004346E8">
      <w:pPr>
        <w:pStyle w:val="ListParagraph"/>
        <w:numPr>
          <w:ilvl w:val="0"/>
          <w:numId w:val="37"/>
        </w:numPr>
        <w:spacing w:line="240" w:lineRule="auto"/>
        <w:jc w:val="both"/>
        <w:rPr>
          <w:rFonts w:ascii="Times New Roman" w:hAnsi="Times New Roman"/>
          <w:sz w:val="24"/>
          <w:szCs w:val="24"/>
        </w:rPr>
      </w:pPr>
      <w:r>
        <w:rPr>
          <w:rFonts w:ascii="Times New Roman" w:hAnsi="Times New Roman"/>
          <w:sz w:val="24"/>
          <w:szCs w:val="24"/>
        </w:rPr>
        <w:t xml:space="preserve">uute </w:t>
      </w:r>
      <w:r w:rsidR="009F536E">
        <w:rPr>
          <w:rFonts w:ascii="Times New Roman" w:hAnsi="Times New Roman"/>
          <w:sz w:val="24"/>
          <w:szCs w:val="24"/>
        </w:rPr>
        <w:t>too</w:t>
      </w:r>
      <w:r w:rsidR="00C616A8">
        <w:rPr>
          <w:rFonts w:ascii="Times New Roman" w:hAnsi="Times New Roman"/>
          <w:sz w:val="24"/>
          <w:szCs w:val="24"/>
        </w:rPr>
        <w:t xml:space="preserve">te valmistamiseks </w:t>
      </w:r>
      <w:r w:rsidR="009F536E">
        <w:rPr>
          <w:rFonts w:ascii="Times New Roman" w:hAnsi="Times New Roman"/>
          <w:sz w:val="24"/>
          <w:szCs w:val="24"/>
        </w:rPr>
        <w:t>ja uu</w:t>
      </w:r>
      <w:r>
        <w:rPr>
          <w:rFonts w:ascii="Times New Roman" w:hAnsi="Times New Roman"/>
          <w:sz w:val="24"/>
          <w:szCs w:val="24"/>
        </w:rPr>
        <w:t>e t</w:t>
      </w:r>
      <w:r w:rsidR="009F536E">
        <w:rPr>
          <w:rFonts w:ascii="Times New Roman" w:hAnsi="Times New Roman"/>
          <w:sz w:val="24"/>
          <w:szCs w:val="24"/>
        </w:rPr>
        <w:t>eenus</w:t>
      </w:r>
      <w:r w:rsidR="00C616A8">
        <w:rPr>
          <w:rFonts w:ascii="Times New Roman" w:hAnsi="Times New Roman"/>
          <w:sz w:val="24"/>
          <w:szCs w:val="24"/>
        </w:rPr>
        <w:t xml:space="preserve">e pakkumiseks </w:t>
      </w:r>
      <w:r>
        <w:rPr>
          <w:rFonts w:ascii="Times New Roman" w:hAnsi="Times New Roman"/>
          <w:sz w:val="24"/>
          <w:szCs w:val="24"/>
        </w:rPr>
        <w:t>vajamineva vara ja selle efektiivseks kasutamiseks vajamineva IT</w:t>
      </w:r>
      <w:r w:rsidR="007D1DB5">
        <w:rPr>
          <w:rFonts w:ascii="Times New Roman" w:hAnsi="Times New Roman"/>
          <w:sz w:val="24"/>
          <w:szCs w:val="24"/>
        </w:rPr>
        <w:t>-</w:t>
      </w:r>
      <w:r>
        <w:rPr>
          <w:rFonts w:ascii="Times New Roman" w:hAnsi="Times New Roman"/>
          <w:sz w:val="24"/>
          <w:szCs w:val="24"/>
        </w:rPr>
        <w:t>lahenduste soetamine.</w:t>
      </w:r>
    </w:p>
    <w:p w14:paraId="60EB1456" w14:textId="0E0A63A3" w:rsidR="00A470A5" w:rsidRDefault="00B44F79" w:rsidP="004346E8">
      <w:pPr>
        <w:jc w:val="both"/>
      </w:pPr>
      <w:r>
        <w:t xml:space="preserve">Siinkohal tuleb rõhutada, et nii ettevõtete arenguprogramm kui ka ka käesolev eelnõu </w:t>
      </w:r>
      <w:r w:rsidR="00C36405">
        <w:t xml:space="preserve">on </w:t>
      </w:r>
      <w:r>
        <w:t>ellu kutsutud, et aidata ettevõtjai</w:t>
      </w:r>
      <w:r w:rsidR="00A470A5">
        <w:t xml:space="preserve">d </w:t>
      </w:r>
      <w:r w:rsidR="004346E8">
        <w:t xml:space="preserve">teha arenguhüpet, </w:t>
      </w:r>
      <w:r w:rsidR="00A470A5">
        <w:t>muuta oma ettevõtete tegevusi tänasest keerukamaks j</w:t>
      </w:r>
      <w:r w:rsidR="00C36405">
        <w:t>a selle kaudu ka parandada oma</w:t>
      </w:r>
      <w:r w:rsidR="00A470A5">
        <w:t xml:space="preserve"> majandustulemusi. Seetõttu on kõik toetatavad tegevused seotud ettevõttes läbiviidavate tegevuste arendamisega või siis arendustegevuse tulemuste rakendamisega.</w:t>
      </w:r>
    </w:p>
    <w:p w14:paraId="357817DC" w14:textId="77777777" w:rsidR="00A470A5" w:rsidRDefault="00A470A5" w:rsidP="004346E8">
      <w:pPr>
        <w:jc w:val="both"/>
      </w:pPr>
    </w:p>
    <w:p w14:paraId="5B382CFC" w14:textId="77777777" w:rsidR="00883C3C" w:rsidRDefault="00A470A5" w:rsidP="004346E8">
      <w:pPr>
        <w:jc w:val="both"/>
      </w:pPr>
      <w:r>
        <w:t xml:space="preserve"> </w:t>
      </w:r>
      <w:r w:rsidR="005046A8">
        <w:t>Lisaks on antud paragrahvis eeltoodud viis põhitegevust jaotatud omakorda alamtegevusteks. Järgnevalt toome ära alamtegevuste loendi koos vastava sisuseletusega.</w:t>
      </w:r>
      <w:r w:rsidR="0073752C">
        <w:t xml:space="preserve"> </w:t>
      </w:r>
    </w:p>
    <w:p w14:paraId="1522A620" w14:textId="77777777" w:rsidR="0073752C" w:rsidRDefault="0073752C" w:rsidP="004346E8">
      <w:pPr>
        <w:jc w:val="both"/>
      </w:pPr>
    </w:p>
    <w:p w14:paraId="6D4BE6A6" w14:textId="77777777" w:rsidR="0073752C" w:rsidRDefault="0073752C" w:rsidP="004346E8">
      <w:pPr>
        <w:jc w:val="both"/>
        <w:rPr>
          <w:u w:val="single"/>
        </w:rPr>
      </w:pPr>
      <w:r w:rsidRPr="0073752C">
        <w:rPr>
          <w:u w:val="single"/>
        </w:rPr>
        <w:t>Ettevõtja personaliarendustegevuse läbiviimine</w:t>
      </w:r>
      <w:r>
        <w:rPr>
          <w:u w:val="single"/>
        </w:rPr>
        <w:t>.</w:t>
      </w:r>
    </w:p>
    <w:p w14:paraId="13DC6405" w14:textId="2F51AFEE" w:rsidR="0073752C" w:rsidRDefault="001A4B01" w:rsidP="004346E8">
      <w:pPr>
        <w:jc w:val="both"/>
      </w:pPr>
      <w:r>
        <w:t>Ettevõtja personal</w:t>
      </w:r>
      <w:r w:rsidR="008C5369">
        <w:t>iarendustegevus</w:t>
      </w:r>
      <w:r w:rsidR="0073752C">
        <w:t xml:space="preserve"> on </w:t>
      </w:r>
      <w:r w:rsidR="0073752C" w:rsidRPr="002B6C3D">
        <w:rPr>
          <w:u w:val="single"/>
        </w:rPr>
        <w:t xml:space="preserve">ettevõtte </w:t>
      </w:r>
      <w:r w:rsidR="008C5369">
        <w:rPr>
          <w:u w:val="single"/>
        </w:rPr>
        <w:t xml:space="preserve">arenguplaani elluviimisega seotud </w:t>
      </w:r>
      <w:r w:rsidR="0073752C" w:rsidRPr="002B6C3D">
        <w:rPr>
          <w:u w:val="single"/>
        </w:rPr>
        <w:t>töötajate koolitustegevus</w:t>
      </w:r>
      <w:r w:rsidR="0073752C">
        <w:t xml:space="preserve">. Toetakse nende koolituste sisseostmist, mis aitavad </w:t>
      </w:r>
      <w:r w:rsidR="00C36405">
        <w:t xml:space="preserve">läbi viia </w:t>
      </w:r>
      <w:r w:rsidR="0073752C">
        <w:t>ettevõttes uute toodete ja teenuste arend</w:t>
      </w:r>
      <w:r w:rsidR="002B6C3D">
        <w:t>ustegevust, näiteks arendustegevuse ettevalmistamist toetavad koolitused, tehnoloogiaalased koolitused. Uute toodete ja teenuste lisandumisel võib tekkida vajadus muuta ettevõttesiseseid protsesse</w:t>
      </w:r>
      <w:r>
        <w:t xml:space="preserve"> ja töökorraldust</w:t>
      </w:r>
      <w:r w:rsidR="002B6C3D">
        <w:t xml:space="preserve">, </w:t>
      </w:r>
      <w:r w:rsidR="00015FB4">
        <w:t>sealhulgas tootmis-, tarne-, personali puudutavaid</w:t>
      </w:r>
      <w:r w:rsidR="002B6C3D">
        <w:t xml:space="preserve"> või turundusprotsess. Kõigi nimetatud koolituste sisseostmine on eelnõu</w:t>
      </w:r>
      <w:r w:rsidR="000624D1">
        <w:t xml:space="preserve"> kohaselt</w:t>
      </w:r>
      <w:r w:rsidR="002B6C3D">
        <w:t xml:space="preserve"> toetatav tegevus. Lisaks kuuluvad toetatavate tegevuste hulka ka nende koolituste sisseostmine, mis aitab tõsta ettevõtte töötajate teadmisi ja oskusi uute toode ja teenuste turuletoomisega seotud tegevustes.</w:t>
      </w:r>
    </w:p>
    <w:p w14:paraId="02A18AFE" w14:textId="77777777" w:rsidR="00380A93" w:rsidRDefault="00380A93" w:rsidP="004346E8">
      <w:pPr>
        <w:jc w:val="both"/>
      </w:pPr>
    </w:p>
    <w:p w14:paraId="0A5DF56A" w14:textId="77777777" w:rsidR="000009FE" w:rsidRDefault="000009FE" w:rsidP="004346E8">
      <w:pPr>
        <w:jc w:val="both"/>
        <w:rPr>
          <w:u w:val="single"/>
        </w:rPr>
      </w:pPr>
      <w:r w:rsidRPr="000009FE">
        <w:rPr>
          <w:u w:val="single"/>
        </w:rPr>
        <w:t>Ettevõtja protsesside arendustegevuse läbiviimine.</w:t>
      </w:r>
    </w:p>
    <w:p w14:paraId="519C8D65" w14:textId="2082AE69" w:rsidR="000009FE" w:rsidRDefault="000009FE" w:rsidP="004346E8">
      <w:pPr>
        <w:jc w:val="both"/>
      </w:pPr>
      <w:r>
        <w:t>Ettevõt</w:t>
      </w:r>
      <w:r w:rsidR="00806735">
        <w:t>jate</w:t>
      </w:r>
      <w:r w:rsidR="002F3917">
        <w:t xml:space="preserve"> </w:t>
      </w:r>
      <w:r>
        <w:t xml:space="preserve">protsessid </w:t>
      </w:r>
      <w:r w:rsidR="007D7856">
        <w:t xml:space="preserve">on seotud peamiselt ettevõtte töö korraldamise ja juhtimisega. </w:t>
      </w:r>
      <w:r w:rsidR="002F3917">
        <w:t xml:space="preserve">Võttes kasutusse eelpool kirjeldatud ettevõtete põhitegevuste viieosalise jaotuse, </w:t>
      </w:r>
      <w:r w:rsidR="002F3917" w:rsidRPr="002F3917">
        <w:t xml:space="preserve">saab </w:t>
      </w:r>
      <w:r w:rsidR="002F3917">
        <w:t xml:space="preserve">sarnasel põhimõttel </w:t>
      </w:r>
      <w:r w:rsidR="002F3917" w:rsidRPr="002F3917">
        <w:t>pro</w:t>
      </w:r>
      <w:r w:rsidR="002140B9">
        <w:t xml:space="preserve">tsessiarenduse liigitada järgmiselt - </w:t>
      </w:r>
      <w:r w:rsidR="002F3917">
        <w:t xml:space="preserve">tootmisprotsesside, sealhulgas tarneprotsessid, </w:t>
      </w:r>
      <w:r w:rsidR="002F3917" w:rsidRPr="002F3917">
        <w:t>toote- ja teenusearenduse protsessi</w:t>
      </w:r>
      <w:r w:rsidR="002F3917">
        <w:t>de</w:t>
      </w:r>
      <w:r w:rsidR="002F3917" w:rsidRPr="002F3917">
        <w:t>, müügi- ja turundusprotsessi</w:t>
      </w:r>
      <w:r w:rsidR="002F3917">
        <w:t>de</w:t>
      </w:r>
      <w:r w:rsidR="002F3917" w:rsidRPr="002F3917">
        <w:t xml:space="preserve"> kui ka </w:t>
      </w:r>
      <w:r w:rsidR="002F3917">
        <w:t xml:space="preserve">personali- ja  </w:t>
      </w:r>
      <w:r w:rsidR="002F3917" w:rsidRPr="002F3917">
        <w:t>organisatsioonijuhtimise protsessi</w:t>
      </w:r>
      <w:r w:rsidR="002F3917">
        <w:t>de</w:t>
      </w:r>
      <w:r w:rsidR="002140B9">
        <w:t xml:space="preserve"> väljatöötamine</w:t>
      </w:r>
      <w:r w:rsidR="002F3917">
        <w:t xml:space="preserve"> ja </w:t>
      </w:r>
      <w:r w:rsidR="002140B9">
        <w:t>edasiarendamine</w:t>
      </w:r>
      <w:r w:rsidR="002F3917" w:rsidRPr="002F3917">
        <w:t>.</w:t>
      </w:r>
      <w:r w:rsidR="002140B9">
        <w:t xml:space="preserve"> Siinkohal väärib eraldiseisvat käsitlust tootmiskorraldusega seotud protsesside kirjeldamine. Tootmiskorraldusprotsesside arendustegevuse hulka kuulub muu hulgas </w:t>
      </w:r>
      <w:r w:rsidR="002140B9" w:rsidRPr="002140B9">
        <w:t xml:space="preserve">tööjõu, materjalide, </w:t>
      </w:r>
      <w:r w:rsidR="002140B9" w:rsidRPr="002140B9">
        <w:lastRenderedPageBreak/>
        <w:t>laovarude ja seadmete töö planeerimine ning ressursiplaneerimise ning –juhtimisega seotud tarkvara lahenduste arendamine</w:t>
      </w:r>
      <w:r w:rsidR="009F536E">
        <w:t xml:space="preserve">, sisseostmine </w:t>
      </w:r>
      <w:r w:rsidR="002140B9" w:rsidRPr="002140B9">
        <w:t>ja juurutamine</w:t>
      </w:r>
      <w:r w:rsidR="002140B9">
        <w:t xml:space="preserve">. </w:t>
      </w:r>
    </w:p>
    <w:p w14:paraId="7DE93AC3" w14:textId="77777777" w:rsidR="002140B9" w:rsidRDefault="002140B9" w:rsidP="004346E8">
      <w:pPr>
        <w:jc w:val="both"/>
      </w:pPr>
    </w:p>
    <w:p w14:paraId="77804F03" w14:textId="5069A924" w:rsidR="002140B9" w:rsidRDefault="0028179C" w:rsidP="004346E8">
      <w:pPr>
        <w:jc w:val="both"/>
      </w:pPr>
      <w:r>
        <w:t>Protsesside arendamine ei ole tavapäraselt ettevõtete päevast</w:t>
      </w:r>
      <w:r w:rsidR="00B1787F">
        <w:t>-</w:t>
      </w:r>
      <w:r>
        <w:t xml:space="preserve">päeva tehtav tegevus. </w:t>
      </w:r>
      <w:r w:rsidR="001702A1">
        <w:t xml:space="preserve">Protsessid </w:t>
      </w:r>
      <w:r>
        <w:t xml:space="preserve">arendatakse välja </w:t>
      </w:r>
      <w:r w:rsidR="001702A1">
        <w:t xml:space="preserve">teatud perioodiks </w:t>
      </w:r>
      <w:r>
        <w:t>ja on kasutuses kuni ettevõtte tegevuses toimub oluline muutus, näiteks lisandub uus ärisuund, toimub mingi toot</w:t>
      </w:r>
      <w:r w:rsidR="00015FB4">
        <w:t>mistsükli automatiseerimine, vms</w:t>
      </w:r>
      <w:r>
        <w:t xml:space="preserve">. Seetõttu vajab ettevõtja protsesside </w:t>
      </w:r>
      <w:r w:rsidR="002140B9">
        <w:t xml:space="preserve">arendamise juures </w:t>
      </w:r>
      <w:r>
        <w:t xml:space="preserve">tihtipeale ettevõttevälist teadmist. Ettevõtete arenguprogrammi osana ja omateenusena pakub rakendusüksus valdkondliku diagnostikat. </w:t>
      </w:r>
      <w:r w:rsidR="003C1A63">
        <w:t>Valdkondlik diagnostika on tööriist mille abil kaardistatakse koos soovitustega vajaminevateks muudatusteks konkreetne tegevuslõik ettevõtte tegevuses. Käesoleva</w:t>
      </w:r>
      <w:r>
        <w:t xml:space="preserve"> toetusmeetm</w:t>
      </w:r>
      <w:r w:rsidR="00C00CA2">
        <w:t xml:space="preserve">e toel on ettevõtjal </w:t>
      </w:r>
      <w:r w:rsidR="001702A1">
        <w:t xml:space="preserve">ka </w:t>
      </w:r>
      <w:r w:rsidR="00C00CA2">
        <w:t xml:space="preserve">võimalus </w:t>
      </w:r>
      <w:r w:rsidR="001702A1">
        <w:t xml:space="preserve">sisse osta </w:t>
      </w:r>
      <w:r w:rsidR="00C00CA2">
        <w:t xml:space="preserve">protsesside arendamisega </w:t>
      </w:r>
      <w:r w:rsidR="009F536E">
        <w:t xml:space="preserve">seotud </w:t>
      </w:r>
      <w:r w:rsidR="00C00CA2">
        <w:t>nõustamisteenust.</w:t>
      </w:r>
    </w:p>
    <w:p w14:paraId="239145C2" w14:textId="77777777" w:rsidR="008C5369" w:rsidRPr="000009FE" w:rsidRDefault="008C5369" w:rsidP="004346E8">
      <w:pPr>
        <w:jc w:val="both"/>
      </w:pPr>
    </w:p>
    <w:p w14:paraId="58B812E1" w14:textId="30410338" w:rsidR="008C5369" w:rsidRDefault="008C5369" w:rsidP="008C5369">
      <w:pPr>
        <w:jc w:val="both"/>
      </w:pPr>
      <w:r>
        <w:t xml:space="preserve">Kolmas </w:t>
      </w:r>
      <w:r w:rsidR="009F536E">
        <w:t xml:space="preserve">eraldiseisev </w:t>
      </w:r>
      <w:r>
        <w:t xml:space="preserve">ettevõtte protsessi arendustegevus on ettevõtte </w:t>
      </w:r>
      <w:r w:rsidR="009F536E">
        <w:t xml:space="preserve">kui </w:t>
      </w:r>
      <w:r>
        <w:t>organisa</w:t>
      </w:r>
      <w:r w:rsidR="009F536E">
        <w:t>tsiooni protsesside arendamine</w:t>
      </w:r>
      <w:r>
        <w:t xml:space="preserve">. Siin on toetatavaks tegevuseks </w:t>
      </w:r>
      <w:r w:rsidRPr="002F19B2">
        <w:rPr>
          <w:u w:val="single"/>
        </w:rPr>
        <w:t>uute arendustöötajate ja uute juhtide palkamine</w:t>
      </w:r>
      <w:r>
        <w:t>. Arendustöötajate mõiste ja tema poolt ellu viidavate tegevuste sisu on lahti seletatud eelnõu paragrahvis 4. Ettevõtja võib palgata arendustööt</w:t>
      </w:r>
      <w:r w:rsidR="000E3863">
        <w:t>aja toote- või teenus-, protsesside</w:t>
      </w:r>
      <w:r>
        <w:t xml:space="preserve"> ning müügi – ja turundustegevuse arendamisega seotud tööülesannete täitmiseks. </w:t>
      </w:r>
    </w:p>
    <w:p w14:paraId="28B9276B" w14:textId="77777777" w:rsidR="008C5369" w:rsidRDefault="008C5369" w:rsidP="008C5369">
      <w:pPr>
        <w:jc w:val="both"/>
      </w:pPr>
    </w:p>
    <w:p w14:paraId="6229FA01" w14:textId="1728DB07" w:rsidR="008C5369" w:rsidRDefault="008C5369" w:rsidP="008C5369">
      <w:pPr>
        <w:jc w:val="both"/>
      </w:pPr>
      <w:r>
        <w:t xml:space="preserve">Ettevõtetes strateegiliste muudatuste tegemisel ja arenguplaani elluviimisel on ettevõtte juhtidel ning nende teadmistel, oskustel ja eelneval kogemusel kriitiline roll. Sellest tulenevalt on üheks toetatavaks tegevuseks uute juhtide palkamine ja tööle rakendamine. </w:t>
      </w:r>
      <w:r w:rsidR="007B2C7D">
        <w:t xml:space="preserve">Uute juhtide hulka kuuluvad nii ettevõtte üldjuhtimisega seotud olevad juhid kui ka ettevõtte </w:t>
      </w:r>
      <w:r w:rsidR="009F536E">
        <w:t xml:space="preserve">eraldiseisva </w:t>
      </w:r>
      <w:r w:rsidR="007B2C7D">
        <w:t>põhitegevustega seotud juhid, näiteks ekspordi</w:t>
      </w:r>
      <w:r w:rsidR="009F536E">
        <w:t>-</w:t>
      </w:r>
      <w:r w:rsidR="007B2C7D">
        <w:t xml:space="preserve"> või arendusjuhid.</w:t>
      </w:r>
      <w:r>
        <w:t xml:space="preserve"> Siinkohal tuleb </w:t>
      </w:r>
      <w:r w:rsidR="007B2C7D">
        <w:t>välja tuua, et toetatakse ainult</w:t>
      </w:r>
      <w:r>
        <w:t xml:space="preserve"> töölepingu alusel töötavate uute juhtide palkamist ja rakendamist.</w:t>
      </w:r>
      <w:r w:rsidR="007B2C7D">
        <w:t xml:space="preserve"> Lisaks toetatakse üksnes neid uue juhi tegevusi, mis on otseselt seotud arenguplaani elluviimisega. Teisisõnu, kui uuel juhil on peale arenguplaani elluviimisega seotud tööülesannete veel muid tööülesandeid, siis viimased ei kuulu toetatavate tegevuste hulka. </w:t>
      </w:r>
    </w:p>
    <w:p w14:paraId="7F68D2CC" w14:textId="77777777" w:rsidR="008C5369" w:rsidRDefault="008C5369" w:rsidP="008C5369">
      <w:pPr>
        <w:jc w:val="both"/>
      </w:pPr>
    </w:p>
    <w:p w14:paraId="736BE586" w14:textId="316AA322" w:rsidR="008C5369" w:rsidRDefault="008C5369" w:rsidP="008C5369">
      <w:pPr>
        <w:jc w:val="both"/>
      </w:pPr>
      <w:r w:rsidRPr="00605BE6">
        <w:t>Tööle asuv uus arendustöötaja või uus juht ei tohi olla tao</w:t>
      </w:r>
      <w:r w:rsidR="00605BE6" w:rsidRPr="00605BE6">
        <w:t>tlejaks</w:t>
      </w:r>
      <w:r w:rsidRPr="00605BE6">
        <w:t xml:space="preserve"> olevas ettevõttes töötanud ühe aasta jooksul enne projekti algust.</w:t>
      </w:r>
    </w:p>
    <w:p w14:paraId="10640FD1" w14:textId="77777777" w:rsidR="005046A8" w:rsidRDefault="005046A8" w:rsidP="004346E8">
      <w:pPr>
        <w:jc w:val="both"/>
      </w:pPr>
    </w:p>
    <w:p w14:paraId="69BF83CA" w14:textId="47757250" w:rsidR="00B44F79" w:rsidRDefault="000E3863" w:rsidP="004346E8">
      <w:pPr>
        <w:jc w:val="both"/>
        <w:rPr>
          <w:u w:val="single"/>
        </w:rPr>
      </w:pPr>
      <w:r>
        <w:rPr>
          <w:u w:val="single"/>
        </w:rPr>
        <w:t>Ettevõtja uue toote ja teenus</w:t>
      </w:r>
      <w:r w:rsidR="00207CEF">
        <w:rPr>
          <w:u w:val="single"/>
        </w:rPr>
        <w:t>e arendustegevuse läbiviimine.</w:t>
      </w:r>
    </w:p>
    <w:p w14:paraId="732FC56E" w14:textId="7B91A6A0" w:rsidR="00B77DA5" w:rsidRDefault="000E3863" w:rsidP="004346E8">
      <w:pPr>
        <w:jc w:val="both"/>
      </w:pPr>
      <w:r>
        <w:t>Ettevõtjate uue toote ja teenuse arendustegevus hõlmab nii uue too</w:t>
      </w:r>
      <w:r w:rsidR="00806735">
        <w:t>te ja teenuste väljaarendamist</w:t>
      </w:r>
      <w:r w:rsidR="00B1787F">
        <w:t>,</w:t>
      </w:r>
      <w:r w:rsidR="00806735">
        <w:t xml:space="preserve"> kui ka juba ettevõtja toote- või teenusepotfellis olevate toodete ja teenuste </w:t>
      </w:r>
      <w:r w:rsidR="007A264C">
        <w:t xml:space="preserve">edasiarendamist, </w:t>
      </w:r>
      <w:r w:rsidR="00806735">
        <w:t>parandami</w:t>
      </w:r>
      <w:r w:rsidR="009F536E">
        <w:t>st või</w:t>
      </w:r>
      <w:r w:rsidR="00806735">
        <w:t xml:space="preserve"> </w:t>
      </w:r>
      <w:r w:rsidR="009F536E">
        <w:t xml:space="preserve">lisafunktsionaalsusega </w:t>
      </w:r>
      <w:r w:rsidR="00806735">
        <w:t>täiendamist</w:t>
      </w:r>
      <w:r w:rsidR="006F124D">
        <w:t>. Sealhulgas kuulub toote</w:t>
      </w:r>
      <w:r w:rsidR="0056544B">
        <w:t>-</w:t>
      </w:r>
      <w:r w:rsidR="006F124D">
        <w:t xml:space="preserve"> ja teenusearendamise hulka ka arendustöö ettevalmistamine, näiteks eel- ja tehnilise teostatavuse uuringute läbiviimine. Eel-  ja tehnilise teostatavuse uuringud peavad andma vastuse, kas kavandatav uus toode või teenus on majanduslikult põhjendatud. Seda </w:t>
      </w:r>
      <w:r w:rsidR="00724565">
        <w:t>lähtudes näiteks turunõudlusest</w:t>
      </w:r>
      <w:r w:rsidR="00B1787F">
        <w:t xml:space="preserve"> (k</w:t>
      </w:r>
      <w:r w:rsidR="006F124D">
        <w:t>as nimetatud tootele või teenu</w:t>
      </w:r>
      <w:r w:rsidR="006551F9">
        <w:t>sele eksisteerib klientidepoolne</w:t>
      </w:r>
      <w:r w:rsidR="006F124D">
        <w:t xml:space="preserve"> nõudlus</w:t>
      </w:r>
      <w:r w:rsidR="00B1787F">
        <w:t>)</w:t>
      </w:r>
      <w:r w:rsidR="006F124D">
        <w:t xml:space="preserve">. Sama oluline on ka asjaolu, kas uue toote või teenuse lõpphind vastab </w:t>
      </w:r>
      <w:r w:rsidR="00B77DA5">
        <w:t>klientide ootustele, sealhulgas kas uue toote tootmise või uue teenuse pakkumisega seotud kulud  mõjuta</w:t>
      </w:r>
      <w:r w:rsidR="00724565">
        <w:t>vad</w:t>
      </w:r>
      <w:r w:rsidR="00B77DA5">
        <w:t xml:space="preserve"> lõpptoote või </w:t>
      </w:r>
      <w:r w:rsidR="0056544B">
        <w:t>-</w:t>
      </w:r>
      <w:r w:rsidR="00B77DA5">
        <w:t xml:space="preserve">teenuse konkurentsieeliseid. Teisalt on eel- ja tehnilise teostatavuse uuringu roll välja selgitada, kas soovitav uus toode või teenus on tehniliselt ja tehnoloogiliselt teostatav. </w:t>
      </w:r>
    </w:p>
    <w:p w14:paraId="0AB60021" w14:textId="77777777" w:rsidR="00B77DA5" w:rsidRDefault="00B77DA5" w:rsidP="004346E8">
      <w:pPr>
        <w:jc w:val="both"/>
      </w:pPr>
    </w:p>
    <w:p w14:paraId="032FAC83" w14:textId="04E4E1DD" w:rsidR="00B44F79" w:rsidRDefault="000E3863" w:rsidP="004346E8">
      <w:pPr>
        <w:jc w:val="both"/>
      </w:pPr>
      <w:r>
        <w:t>Toote ja</w:t>
      </w:r>
      <w:r w:rsidR="00B77DA5">
        <w:t xml:space="preserve"> teenuse arendamise hulka kuulub kogu arendustsükkel, sealhulgas nii too</w:t>
      </w:r>
      <w:r>
        <w:t>te ja</w:t>
      </w:r>
      <w:r w:rsidR="00724565">
        <w:t xml:space="preserve"> teenuse disain, </w:t>
      </w:r>
      <w:r w:rsidR="00807AE6">
        <w:t>otseselt uue toote või</w:t>
      </w:r>
      <w:r w:rsidR="00B77DA5">
        <w:t xml:space="preserve"> teenuse arendamisega seotud </w:t>
      </w:r>
      <w:r w:rsidR="006551F9">
        <w:t xml:space="preserve">ja </w:t>
      </w:r>
      <w:r w:rsidR="007A264C">
        <w:t xml:space="preserve">rakendusuuringuna </w:t>
      </w:r>
      <w:r w:rsidR="007A264C">
        <w:lastRenderedPageBreak/>
        <w:t>teostatava</w:t>
      </w:r>
      <w:r w:rsidR="00724565">
        <w:t xml:space="preserve">d uuringud </w:t>
      </w:r>
      <w:r w:rsidR="006551F9">
        <w:t>kui ka kooskõlas EK riigiabi tingimustega</w:t>
      </w:r>
      <w:r w:rsidR="00724565" w:rsidRPr="00724565">
        <w:t xml:space="preserve"> </w:t>
      </w:r>
      <w:r w:rsidR="00724565">
        <w:t>vajadusel proovipartiide toomine</w:t>
      </w:r>
      <w:r w:rsidR="00B77DA5">
        <w:t xml:space="preserve">. </w:t>
      </w:r>
      <w:r w:rsidR="006F124D">
        <w:t xml:space="preserve"> </w:t>
      </w:r>
    </w:p>
    <w:p w14:paraId="56F9CBBF" w14:textId="77777777" w:rsidR="00806735" w:rsidRDefault="00806735" w:rsidP="004346E8">
      <w:pPr>
        <w:widowControl w:val="0"/>
        <w:tabs>
          <w:tab w:val="center" w:pos="4938"/>
          <w:tab w:val="right" w:pos="9091"/>
        </w:tabs>
        <w:autoSpaceDE w:val="0"/>
        <w:jc w:val="both"/>
        <w:rPr>
          <w:rStyle w:val="Strong"/>
          <w:b w:val="0"/>
        </w:rPr>
      </w:pPr>
    </w:p>
    <w:p w14:paraId="480A3408" w14:textId="77777777" w:rsidR="00B77DA5" w:rsidRDefault="00B77DA5" w:rsidP="004346E8">
      <w:pPr>
        <w:widowControl w:val="0"/>
        <w:tabs>
          <w:tab w:val="center" w:pos="4938"/>
          <w:tab w:val="right" w:pos="9091"/>
        </w:tabs>
        <w:autoSpaceDE w:val="0"/>
        <w:jc w:val="both"/>
        <w:rPr>
          <w:rStyle w:val="Strong"/>
          <w:b w:val="0"/>
        </w:rPr>
      </w:pPr>
      <w:r>
        <w:rPr>
          <w:rStyle w:val="Strong"/>
          <w:b w:val="0"/>
        </w:rPr>
        <w:t>Lisaks kuuluvad uute toodete ja teenuste arendustegevuse sekka ka nimetatud tegevuse nõuandeteenuste sisseostmine ja tugiteenuste läbiviimine</w:t>
      </w:r>
      <w:r w:rsidR="00C601CD">
        <w:rPr>
          <w:rStyle w:val="Strong"/>
          <w:b w:val="0"/>
        </w:rPr>
        <w:t xml:space="preserve">. </w:t>
      </w:r>
    </w:p>
    <w:p w14:paraId="4A7AF8FD" w14:textId="77777777" w:rsidR="00C601CD" w:rsidRDefault="00C601CD" w:rsidP="004346E8">
      <w:pPr>
        <w:widowControl w:val="0"/>
        <w:tabs>
          <w:tab w:val="center" w:pos="4938"/>
          <w:tab w:val="right" w:pos="9091"/>
        </w:tabs>
        <w:autoSpaceDE w:val="0"/>
        <w:jc w:val="both"/>
        <w:rPr>
          <w:rStyle w:val="Strong"/>
          <w:b w:val="0"/>
        </w:rPr>
      </w:pPr>
    </w:p>
    <w:p w14:paraId="6AAED2D5" w14:textId="1AB91992" w:rsidR="00C601CD" w:rsidRDefault="00C601CD" w:rsidP="004346E8">
      <w:pPr>
        <w:widowControl w:val="0"/>
        <w:tabs>
          <w:tab w:val="center" w:pos="4938"/>
          <w:tab w:val="right" w:pos="9091"/>
        </w:tabs>
        <w:autoSpaceDE w:val="0"/>
        <w:jc w:val="both"/>
        <w:rPr>
          <w:rStyle w:val="Strong"/>
          <w:b w:val="0"/>
        </w:rPr>
      </w:pPr>
      <w:r>
        <w:rPr>
          <w:rStyle w:val="Strong"/>
          <w:b w:val="0"/>
        </w:rPr>
        <w:t>Nõuandeteenustena käsitletakse siinkohal nõust</w:t>
      </w:r>
      <w:r w:rsidR="00724565">
        <w:rPr>
          <w:rStyle w:val="Strong"/>
          <w:b w:val="0"/>
        </w:rPr>
        <w:t>amisteenuseid</w:t>
      </w:r>
      <w:r w:rsidR="0056544B">
        <w:rPr>
          <w:rStyle w:val="Strong"/>
          <w:b w:val="0"/>
        </w:rPr>
        <w:t>,</w:t>
      </w:r>
      <w:r w:rsidR="00724565">
        <w:rPr>
          <w:rStyle w:val="Strong"/>
          <w:b w:val="0"/>
        </w:rPr>
        <w:t xml:space="preserve"> kuidas</w:t>
      </w:r>
      <w:r>
        <w:rPr>
          <w:rStyle w:val="Strong"/>
          <w:b w:val="0"/>
        </w:rPr>
        <w:t xml:space="preserve"> kasutada ja hankida ettevõtteväliseid tehnoloogiaid  ja </w:t>
      </w:r>
      <w:r w:rsidR="00724565">
        <w:rPr>
          <w:rStyle w:val="Strong"/>
          <w:b w:val="0"/>
        </w:rPr>
        <w:t xml:space="preserve">tehnoloogialaseid </w:t>
      </w:r>
      <w:r>
        <w:rPr>
          <w:rStyle w:val="Strong"/>
          <w:b w:val="0"/>
        </w:rPr>
        <w:t>teadmisi. Teisalt</w:t>
      </w:r>
      <w:r w:rsidR="0056544B">
        <w:rPr>
          <w:rStyle w:val="Strong"/>
          <w:b w:val="0"/>
        </w:rPr>
        <w:t xml:space="preserve"> −</w:t>
      </w:r>
      <w:r>
        <w:rPr>
          <w:rStyle w:val="Strong"/>
          <w:b w:val="0"/>
        </w:rPr>
        <w:t xml:space="preserve"> kuidas kasutada ja kaitsta oma loodud uut teadmist. </w:t>
      </w:r>
      <w:r w:rsidR="00724565">
        <w:rPr>
          <w:rStyle w:val="Strong"/>
          <w:b w:val="0"/>
        </w:rPr>
        <w:t>Teisisõnu,</w:t>
      </w:r>
      <w:r w:rsidR="006551F9">
        <w:rPr>
          <w:rStyle w:val="Strong"/>
          <w:b w:val="0"/>
        </w:rPr>
        <w:t xml:space="preserve"> kõik</w:t>
      </w:r>
      <w:r w:rsidR="00724565">
        <w:rPr>
          <w:rStyle w:val="Strong"/>
          <w:b w:val="0"/>
        </w:rPr>
        <w:t xml:space="preserve"> intellektuaalomandiga seotud teemad. </w:t>
      </w:r>
      <w:r w:rsidR="00E1483B">
        <w:rPr>
          <w:rStyle w:val="Strong"/>
          <w:b w:val="0"/>
        </w:rPr>
        <w:t xml:space="preserve">Eraldi tuleb välja tuua ka patentide esmakordse kaitsmisega seotud tegevused, mille toetamine on oluline kui ettevõtjal puuduvad eelnevad kogemused kas ja kuidas oma loodud uut teadmist äriliselt kaitsa. </w:t>
      </w:r>
      <w:r w:rsidR="00B63988">
        <w:rPr>
          <w:rStyle w:val="Strong"/>
          <w:b w:val="0"/>
        </w:rPr>
        <w:t>Lisaks kuu</w:t>
      </w:r>
      <w:r w:rsidR="00E1483B">
        <w:rPr>
          <w:rStyle w:val="Strong"/>
          <w:b w:val="0"/>
        </w:rPr>
        <w:t>luvad selle tegevuse alla ka uue toote ja teenus</w:t>
      </w:r>
      <w:r w:rsidR="00B63988">
        <w:rPr>
          <w:rStyle w:val="Strong"/>
          <w:b w:val="0"/>
        </w:rPr>
        <w:t>e vastavuskatsetuse ja sertif</w:t>
      </w:r>
      <w:r w:rsidR="00B1787F">
        <w:rPr>
          <w:rStyle w:val="Strong"/>
          <w:b w:val="0"/>
        </w:rPr>
        <w:t>i</w:t>
      </w:r>
      <w:r w:rsidR="00B63988">
        <w:rPr>
          <w:rStyle w:val="Strong"/>
          <w:b w:val="0"/>
        </w:rPr>
        <w:t>tseerimisteenust</w:t>
      </w:r>
      <w:r w:rsidR="00724565">
        <w:rPr>
          <w:rStyle w:val="Strong"/>
          <w:b w:val="0"/>
        </w:rPr>
        <w:t>e sisseostmine ja läbiviimine ning</w:t>
      </w:r>
      <w:r w:rsidR="00B63988">
        <w:rPr>
          <w:rStyle w:val="Strong"/>
          <w:b w:val="0"/>
        </w:rPr>
        <w:t xml:space="preserve"> teised </w:t>
      </w:r>
      <w:r w:rsidR="00724565">
        <w:rPr>
          <w:rStyle w:val="Strong"/>
          <w:b w:val="0"/>
        </w:rPr>
        <w:t>sellelaadsed tegevused, mille abil tõendatakse uue toote või teenuse vastav</w:t>
      </w:r>
      <w:r w:rsidR="006551F9">
        <w:rPr>
          <w:rStyle w:val="Strong"/>
          <w:b w:val="0"/>
        </w:rPr>
        <w:t>ust kindlatele</w:t>
      </w:r>
      <w:r w:rsidR="00B63988">
        <w:rPr>
          <w:rStyle w:val="Strong"/>
          <w:b w:val="0"/>
        </w:rPr>
        <w:t xml:space="preserve"> tingimuste või ettenähtud normidele.</w:t>
      </w:r>
    </w:p>
    <w:p w14:paraId="4FDB15D0" w14:textId="77777777" w:rsidR="00C601CD" w:rsidRDefault="00C601CD" w:rsidP="004346E8">
      <w:pPr>
        <w:widowControl w:val="0"/>
        <w:tabs>
          <w:tab w:val="center" w:pos="4938"/>
          <w:tab w:val="right" w:pos="9091"/>
        </w:tabs>
        <w:autoSpaceDE w:val="0"/>
        <w:jc w:val="both"/>
        <w:rPr>
          <w:rStyle w:val="Strong"/>
          <w:b w:val="0"/>
        </w:rPr>
      </w:pPr>
    </w:p>
    <w:p w14:paraId="22E09DA3" w14:textId="77777777" w:rsidR="00B63988" w:rsidRDefault="00B63988" w:rsidP="004346E8">
      <w:pPr>
        <w:widowControl w:val="0"/>
        <w:tabs>
          <w:tab w:val="center" w:pos="4938"/>
          <w:tab w:val="right" w:pos="9091"/>
        </w:tabs>
        <w:autoSpaceDE w:val="0"/>
        <w:jc w:val="both"/>
        <w:rPr>
          <w:rStyle w:val="Strong"/>
          <w:b w:val="0"/>
          <w:u w:val="single"/>
        </w:rPr>
      </w:pPr>
      <w:r>
        <w:rPr>
          <w:rStyle w:val="Strong"/>
          <w:b w:val="0"/>
          <w:u w:val="single"/>
        </w:rPr>
        <w:t>Ettevõtja uute ja kõrge lisandväärtusega toodete ja teenuste müügi- ja turundustegevuste arendamine ja läbiviimine.</w:t>
      </w:r>
    </w:p>
    <w:p w14:paraId="1E0C3E39" w14:textId="78668B3A" w:rsidR="003004BF" w:rsidRDefault="0056544B" w:rsidP="004346E8">
      <w:pPr>
        <w:widowControl w:val="0"/>
        <w:tabs>
          <w:tab w:val="center" w:pos="4938"/>
          <w:tab w:val="right" w:pos="9091"/>
        </w:tabs>
        <w:autoSpaceDE w:val="0"/>
        <w:jc w:val="both"/>
        <w:rPr>
          <w:rStyle w:val="Strong"/>
          <w:b w:val="0"/>
        </w:rPr>
      </w:pPr>
      <w:r>
        <w:rPr>
          <w:rStyle w:val="Strong"/>
          <w:b w:val="0"/>
        </w:rPr>
        <w:t>E</w:t>
      </w:r>
      <w:r w:rsidR="003004BF">
        <w:rPr>
          <w:rStyle w:val="Strong"/>
          <w:b w:val="0"/>
        </w:rPr>
        <w:t xml:space="preserve">ttevõtja uute ja kõrge lisandväärtusega toodete ja teenuste müügi- ja turundustegevus on suunatud peamiselt </w:t>
      </w:r>
      <w:r w:rsidR="001A4B01">
        <w:rPr>
          <w:rStyle w:val="Strong"/>
          <w:b w:val="0"/>
        </w:rPr>
        <w:t>ettevõtja müügi- ja turundusvaldkonna</w:t>
      </w:r>
      <w:r w:rsidR="003004BF">
        <w:rPr>
          <w:rStyle w:val="Strong"/>
          <w:b w:val="0"/>
        </w:rPr>
        <w:t xml:space="preserve"> arendustegevustele. </w:t>
      </w:r>
      <w:r w:rsidR="001A4B01">
        <w:rPr>
          <w:rStyle w:val="Strong"/>
          <w:b w:val="0"/>
        </w:rPr>
        <w:t>Täpsemalt t</w:t>
      </w:r>
      <w:r w:rsidR="003004BF">
        <w:rPr>
          <w:rStyle w:val="Strong"/>
          <w:b w:val="0"/>
        </w:rPr>
        <w:t>egevustele, mis aitavad planeerida ja üles ehitada müügi</w:t>
      </w:r>
      <w:r w:rsidR="0073078D">
        <w:rPr>
          <w:rStyle w:val="Strong"/>
          <w:b w:val="0"/>
        </w:rPr>
        <w:t>-</w:t>
      </w:r>
      <w:r w:rsidR="003004BF">
        <w:rPr>
          <w:rStyle w:val="Strong"/>
          <w:b w:val="0"/>
        </w:rPr>
        <w:t xml:space="preserve"> ja turundustegevusi ning tegevustele, mis on vajalikud uue toote või teenusega turule või kõrge lisandväärtusega toote või teenusega uuele turule sisenemiseks. Sealjuures on rõhk</w:t>
      </w:r>
      <w:r w:rsidR="001A4B01">
        <w:rPr>
          <w:rStyle w:val="Strong"/>
          <w:b w:val="0"/>
        </w:rPr>
        <w:t xml:space="preserve"> </w:t>
      </w:r>
      <w:r w:rsidR="00724565">
        <w:rPr>
          <w:rStyle w:val="Strong"/>
          <w:b w:val="0"/>
        </w:rPr>
        <w:t>ettevõttes</w:t>
      </w:r>
      <w:r w:rsidR="007A264C">
        <w:rPr>
          <w:rStyle w:val="Strong"/>
          <w:b w:val="0"/>
        </w:rPr>
        <w:t>se</w:t>
      </w:r>
      <w:r w:rsidR="003004BF">
        <w:rPr>
          <w:rStyle w:val="Strong"/>
          <w:b w:val="0"/>
        </w:rPr>
        <w:t xml:space="preserve"> uu</w:t>
      </w:r>
      <w:r w:rsidR="00724565">
        <w:rPr>
          <w:rStyle w:val="Strong"/>
          <w:b w:val="0"/>
        </w:rPr>
        <w:t>t</w:t>
      </w:r>
      <w:r w:rsidR="003004BF">
        <w:rPr>
          <w:rStyle w:val="Strong"/>
          <w:b w:val="0"/>
        </w:rPr>
        <w:t>e teadmis</w:t>
      </w:r>
      <w:r w:rsidR="00724565">
        <w:rPr>
          <w:rStyle w:val="Strong"/>
          <w:b w:val="0"/>
        </w:rPr>
        <w:t>t</w:t>
      </w:r>
      <w:r w:rsidR="003004BF">
        <w:rPr>
          <w:rStyle w:val="Strong"/>
          <w:b w:val="0"/>
        </w:rPr>
        <w:t xml:space="preserve">e toomisel. </w:t>
      </w:r>
    </w:p>
    <w:p w14:paraId="51E52C1B" w14:textId="77777777" w:rsidR="006551F9" w:rsidRDefault="006551F9" w:rsidP="004346E8">
      <w:pPr>
        <w:widowControl w:val="0"/>
        <w:tabs>
          <w:tab w:val="center" w:pos="4938"/>
          <w:tab w:val="right" w:pos="9091"/>
        </w:tabs>
        <w:autoSpaceDE w:val="0"/>
        <w:jc w:val="both"/>
        <w:rPr>
          <w:rStyle w:val="Strong"/>
          <w:b w:val="0"/>
        </w:rPr>
      </w:pPr>
    </w:p>
    <w:p w14:paraId="56BBD989" w14:textId="2AD3AAD8" w:rsidR="003004BF" w:rsidRPr="003004BF" w:rsidRDefault="001A4B01" w:rsidP="004346E8">
      <w:pPr>
        <w:widowControl w:val="0"/>
        <w:tabs>
          <w:tab w:val="center" w:pos="4938"/>
          <w:tab w:val="right" w:pos="9091"/>
        </w:tabs>
        <w:autoSpaceDE w:val="0"/>
        <w:jc w:val="both"/>
        <w:rPr>
          <w:rStyle w:val="Strong"/>
          <w:b w:val="0"/>
        </w:rPr>
      </w:pPr>
      <w:r>
        <w:rPr>
          <w:rStyle w:val="Strong"/>
          <w:b w:val="0"/>
        </w:rPr>
        <w:t>Müügi- ja turundustegevuse ettevalmistavate tegevuste hulka kuuluvad järgmised tegevused</w:t>
      </w:r>
      <w:r w:rsidR="00B1787F">
        <w:rPr>
          <w:rStyle w:val="Strong"/>
          <w:b w:val="0"/>
        </w:rPr>
        <w:t>:</w:t>
      </w:r>
      <w:r>
        <w:rPr>
          <w:rStyle w:val="Strong"/>
          <w:b w:val="0"/>
        </w:rPr>
        <w:t xml:space="preserve"> </w:t>
      </w:r>
      <w:r w:rsidRPr="001A4B01">
        <w:rPr>
          <w:rStyle w:val="Strong"/>
          <w:b w:val="0"/>
        </w:rPr>
        <w:t>detailse müügi- ja turundusstrateegia koos vas</w:t>
      </w:r>
      <w:r>
        <w:rPr>
          <w:rStyle w:val="Strong"/>
          <w:b w:val="0"/>
        </w:rPr>
        <w:t xml:space="preserve">tava tegevuskavaga sisseostmine ja </w:t>
      </w:r>
      <w:r w:rsidRPr="001A4B01">
        <w:rPr>
          <w:rStyle w:val="Strong"/>
          <w:b w:val="0"/>
        </w:rPr>
        <w:tab/>
        <w:t xml:space="preserve">müügi- ja turundustegevuse arendusega seotud nõustamisteenuste, sealhulgas sihtturu </w:t>
      </w:r>
      <w:r w:rsidR="007A264C">
        <w:rPr>
          <w:rStyle w:val="Strong"/>
          <w:b w:val="0"/>
        </w:rPr>
        <w:t>nõustamisteenuste,</w:t>
      </w:r>
      <w:r>
        <w:rPr>
          <w:rStyle w:val="Strong"/>
          <w:b w:val="0"/>
        </w:rPr>
        <w:t xml:space="preserve"> sisseostmine. Lisaks kuuluvad </w:t>
      </w:r>
      <w:r w:rsidR="007A264C">
        <w:rPr>
          <w:rStyle w:val="Strong"/>
          <w:b w:val="0"/>
        </w:rPr>
        <w:t xml:space="preserve">eelnõu käesolevas paragrahvis sätestatud </w:t>
      </w:r>
      <w:r>
        <w:rPr>
          <w:rStyle w:val="Strong"/>
          <w:b w:val="0"/>
        </w:rPr>
        <w:t xml:space="preserve">personaliarendustegevuste alla ka uute toodete ja teenuste müügi- ja turundusprotsesside koolitused, mis on otseselt seotud nimetatud tegevuse </w:t>
      </w:r>
      <w:r w:rsidR="00E15586">
        <w:rPr>
          <w:rStyle w:val="Strong"/>
          <w:b w:val="0"/>
        </w:rPr>
        <w:t xml:space="preserve">ettevalmistamise ja uute valdkonda puudutavate teadmiste loomisega. </w:t>
      </w:r>
      <w:r w:rsidR="005F39A8">
        <w:rPr>
          <w:rStyle w:val="Strong"/>
          <w:b w:val="0"/>
        </w:rPr>
        <w:t xml:space="preserve">Lisaks toetatakse uute toodete ja teenuste turuletoomisega või kõrge lisandväärtusega toodete ja teenuste uuele turule viimisega seotult ka nende  </w:t>
      </w:r>
      <w:r w:rsidR="00E15586" w:rsidRPr="00E15586">
        <w:rPr>
          <w:rStyle w:val="Strong"/>
          <w:b w:val="0"/>
        </w:rPr>
        <w:t>välismessi</w:t>
      </w:r>
      <w:r w:rsidR="005F39A8">
        <w:rPr>
          <w:rStyle w:val="Strong"/>
          <w:b w:val="0"/>
        </w:rPr>
        <w:t xml:space="preserve">del või </w:t>
      </w:r>
      <w:r w:rsidR="0073078D">
        <w:rPr>
          <w:rStyle w:val="Strong"/>
          <w:b w:val="0"/>
        </w:rPr>
        <w:t>-</w:t>
      </w:r>
      <w:r w:rsidR="005F39A8">
        <w:rPr>
          <w:rStyle w:val="Strong"/>
          <w:b w:val="0"/>
        </w:rPr>
        <w:t>näitustel tutvustamist</w:t>
      </w:r>
      <w:r w:rsidR="00E15586">
        <w:rPr>
          <w:rStyle w:val="Strong"/>
          <w:b w:val="0"/>
        </w:rPr>
        <w:t xml:space="preserve"> ning nimetatud toodete ja teenuste</w:t>
      </w:r>
      <w:r w:rsidR="00E15586" w:rsidRPr="00E15586">
        <w:rPr>
          <w:rStyle w:val="Strong"/>
          <w:b w:val="0"/>
        </w:rPr>
        <w:t xml:space="preserve"> tutvustamiseks vajamineva tootenäidiste j</w:t>
      </w:r>
      <w:r w:rsidR="005F39A8">
        <w:rPr>
          <w:rStyle w:val="Strong"/>
          <w:b w:val="0"/>
        </w:rPr>
        <w:t>a turundusmaterjali valmistamist</w:t>
      </w:r>
      <w:r w:rsidR="00E15586" w:rsidRPr="00E15586">
        <w:rPr>
          <w:rStyle w:val="Strong"/>
          <w:b w:val="0"/>
        </w:rPr>
        <w:t>.</w:t>
      </w:r>
    </w:p>
    <w:p w14:paraId="7F954BE2" w14:textId="77777777" w:rsidR="003004BF" w:rsidRDefault="003004BF" w:rsidP="004346E8">
      <w:pPr>
        <w:widowControl w:val="0"/>
        <w:tabs>
          <w:tab w:val="center" w:pos="4938"/>
          <w:tab w:val="right" w:pos="9091"/>
        </w:tabs>
        <w:autoSpaceDE w:val="0"/>
        <w:jc w:val="both"/>
        <w:rPr>
          <w:rStyle w:val="Strong"/>
          <w:b w:val="0"/>
          <w:u w:val="single"/>
        </w:rPr>
      </w:pPr>
    </w:p>
    <w:p w14:paraId="1D8D2B9E" w14:textId="02F3262E" w:rsidR="003004BF" w:rsidRDefault="00B875D7" w:rsidP="004346E8">
      <w:pPr>
        <w:widowControl w:val="0"/>
        <w:tabs>
          <w:tab w:val="center" w:pos="4938"/>
          <w:tab w:val="right" w:pos="9091"/>
        </w:tabs>
        <w:autoSpaceDE w:val="0"/>
        <w:jc w:val="both"/>
        <w:rPr>
          <w:rStyle w:val="Strong"/>
          <w:b w:val="0"/>
          <w:u w:val="single"/>
        </w:rPr>
      </w:pPr>
      <w:r>
        <w:rPr>
          <w:rStyle w:val="Strong"/>
          <w:b w:val="0"/>
          <w:u w:val="single"/>
        </w:rPr>
        <w:t>Uue toote valmistamiseks ja uue teenus</w:t>
      </w:r>
      <w:r w:rsidR="00E15586" w:rsidRPr="00E15586">
        <w:rPr>
          <w:rStyle w:val="Strong"/>
          <w:b w:val="0"/>
          <w:u w:val="single"/>
        </w:rPr>
        <w:t>e pakkumiseks vajamineva vara ja selle efektiivseks kasutamiseks vajamineva IT</w:t>
      </w:r>
      <w:r w:rsidR="0073078D">
        <w:rPr>
          <w:rStyle w:val="Strong"/>
          <w:b w:val="0"/>
          <w:u w:val="single"/>
        </w:rPr>
        <w:t>-</w:t>
      </w:r>
      <w:r w:rsidR="00E15586" w:rsidRPr="00E15586">
        <w:rPr>
          <w:rStyle w:val="Strong"/>
          <w:b w:val="0"/>
          <w:u w:val="single"/>
        </w:rPr>
        <w:t>lahenduste soetamine</w:t>
      </w:r>
      <w:r w:rsidR="00E15586">
        <w:rPr>
          <w:rStyle w:val="Strong"/>
          <w:b w:val="0"/>
          <w:u w:val="single"/>
        </w:rPr>
        <w:t>.</w:t>
      </w:r>
    </w:p>
    <w:p w14:paraId="4BCF1275" w14:textId="0EB16300" w:rsidR="00E15586" w:rsidRPr="00E15586" w:rsidRDefault="00A039E2" w:rsidP="004346E8">
      <w:pPr>
        <w:widowControl w:val="0"/>
        <w:tabs>
          <w:tab w:val="center" w:pos="4938"/>
          <w:tab w:val="right" w:pos="9091"/>
        </w:tabs>
        <w:autoSpaceDE w:val="0"/>
        <w:jc w:val="both"/>
        <w:rPr>
          <w:rStyle w:val="Strong"/>
          <w:b w:val="0"/>
        </w:rPr>
      </w:pPr>
      <w:r>
        <w:rPr>
          <w:rStyle w:val="Strong"/>
          <w:b w:val="0"/>
        </w:rPr>
        <w:t>Ettevõtete arenguprogramm üheks eesmärgiks on ettevõtete tänaste tegevuste keerukamaks muutmine ja seeläbi majandustulemuste parandamine. Teisisõnu, ettev</w:t>
      </w:r>
      <w:r w:rsidR="005F39A8">
        <w:rPr>
          <w:rStyle w:val="Strong"/>
          <w:b w:val="0"/>
        </w:rPr>
        <w:t>õtete arenguprogramm toetab</w:t>
      </w:r>
      <w:r>
        <w:rPr>
          <w:rStyle w:val="Strong"/>
          <w:b w:val="0"/>
        </w:rPr>
        <w:t xml:space="preserve"> ettevõtjate pool</w:t>
      </w:r>
      <w:r w:rsidR="005F39A8">
        <w:rPr>
          <w:rStyle w:val="Strong"/>
          <w:b w:val="0"/>
        </w:rPr>
        <w:t>t tehtavaid tegevusi, mis aitavad</w:t>
      </w:r>
      <w:r w:rsidR="00380A93">
        <w:rPr>
          <w:rStyle w:val="Strong"/>
          <w:b w:val="0"/>
        </w:rPr>
        <w:t xml:space="preserve"> ettevõtetel tõusta </w:t>
      </w:r>
      <w:r>
        <w:rPr>
          <w:rStyle w:val="Strong"/>
          <w:b w:val="0"/>
        </w:rPr>
        <w:t>väärtusahelas</w:t>
      </w:r>
      <w:r w:rsidR="005F39A8">
        <w:rPr>
          <w:rStyle w:val="Strong"/>
          <w:b w:val="0"/>
        </w:rPr>
        <w:t xml:space="preserve">. Sellest </w:t>
      </w:r>
      <w:r w:rsidR="00380A93">
        <w:rPr>
          <w:rStyle w:val="Strong"/>
          <w:b w:val="0"/>
        </w:rPr>
        <w:t xml:space="preserve">põhimõttest lähtudes toetatakse eelnõuga üksnes </w:t>
      </w:r>
      <w:r w:rsidR="00B875D7">
        <w:rPr>
          <w:rStyle w:val="Strong"/>
          <w:b w:val="0"/>
        </w:rPr>
        <w:t>uu</w:t>
      </w:r>
      <w:r w:rsidR="00380A93" w:rsidRPr="00380A93">
        <w:rPr>
          <w:rStyle w:val="Strong"/>
          <w:b w:val="0"/>
        </w:rPr>
        <w:t>e</w:t>
      </w:r>
      <w:r w:rsidR="00B875D7">
        <w:rPr>
          <w:rStyle w:val="Strong"/>
          <w:b w:val="0"/>
        </w:rPr>
        <w:t xml:space="preserve"> ja kõrge lisandväärtusega toote valmistamisega või uu</w:t>
      </w:r>
      <w:r w:rsidR="00380A93" w:rsidRPr="00380A93">
        <w:rPr>
          <w:rStyle w:val="Strong"/>
          <w:b w:val="0"/>
        </w:rPr>
        <w:t>e ja kõrge lisandvä</w:t>
      </w:r>
      <w:r w:rsidR="00B875D7">
        <w:rPr>
          <w:rStyle w:val="Strong"/>
          <w:b w:val="0"/>
        </w:rPr>
        <w:t>ärtusega teenus</w:t>
      </w:r>
      <w:r w:rsidR="00380A93" w:rsidRPr="00380A93">
        <w:rPr>
          <w:rStyle w:val="Strong"/>
          <w:b w:val="0"/>
        </w:rPr>
        <w:t>e pakkumisega seotud masinate ja seadmete ning nende kasutamiseks vajamin</w:t>
      </w:r>
      <w:r w:rsidR="00380A93">
        <w:rPr>
          <w:rStyle w:val="Strong"/>
          <w:b w:val="0"/>
        </w:rPr>
        <w:t>eva immateriaalse vara soetamist.</w:t>
      </w:r>
    </w:p>
    <w:p w14:paraId="6203E5F9" w14:textId="77777777" w:rsidR="00B63988" w:rsidRDefault="00B63988" w:rsidP="004346E8">
      <w:pPr>
        <w:widowControl w:val="0"/>
        <w:tabs>
          <w:tab w:val="center" w:pos="4938"/>
          <w:tab w:val="right" w:pos="9091"/>
        </w:tabs>
        <w:autoSpaceDE w:val="0"/>
        <w:jc w:val="both"/>
        <w:rPr>
          <w:rStyle w:val="Strong"/>
          <w:b w:val="0"/>
          <w:u w:val="single"/>
        </w:rPr>
      </w:pPr>
    </w:p>
    <w:p w14:paraId="4A9A68A2" w14:textId="77777777" w:rsidR="00602F33" w:rsidRPr="002E6552" w:rsidRDefault="00F10C57" w:rsidP="004346E8">
      <w:pPr>
        <w:widowControl w:val="0"/>
        <w:tabs>
          <w:tab w:val="center" w:pos="4938"/>
          <w:tab w:val="right" w:pos="9091"/>
        </w:tabs>
        <w:autoSpaceDE w:val="0"/>
        <w:jc w:val="both"/>
        <w:rPr>
          <w:rFonts w:eastAsia="Arial Unicode MS"/>
        </w:rPr>
      </w:pPr>
      <w:r w:rsidRPr="002E6552">
        <w:rPr>
          <w:rStyle w:val="Strong"/>
          <w:b w:val="0"/>
          <w:u w:val="single"/>
        </w:rPr>
        <w:t xml:space="preserve">Eelnõu </w:t>
      </w:r>
      <w:r w:rsidRPr="002E6552">
        <w:rPr>
          <w:rStyle w:val="Strong"/>
          <w:b w:val="0"/>
          <w:bCs w:val="0"/>
          <w:u w:val="single"/>
        </w:rPr>
        <w:t xml:space="preserve">§ </w:t>
      </w:r>
      <w:bookmarkStart w:id="4" w:name="para6"/>
      <w:r w:rsidR="00380A93">
        <w:rPr>
          <w:rStyle w:val="Strong"/>
          <w:b w:val="0"/>
          <w:bCs w:val="0"/>
          <w:u w:val="single"/>
        </w:rPr>
        <w:t>8</w:t>
      </w:r>
      <w:r w:rsidRPr="002E6552">
        <w:rPr>
          <w:rStyle w:val="Strong"/>
        </w:rPr>
        <w:t xml:space="preserve"> </w:t>
      </w:r>
      <w:bookmarkEnd w:id="4"/>
      <w:r w:rsidRPr="002E6552">
        <w:rPr>
          <w:rFonts w:eastAsia="Arial Unicode MS"/>
        </w:rPr>
        <w:t xml:space="preserve">määratleb </w:t>
      </w:r>
      <w:r w:rsidR="00602F33" w:rsidRPr="002E6552">
        <w:rPr>
          <w:rFonts w:eastAsia="Arial Unicode MS"/>
        </w:rPr>
        <w:t>määruse abikõlblikud kulud ja nendega seotud tingimused.</w:t>
      </w:r>
    </w:p>
    <w:p w14:paraId="20ACED43" w14:textId="77777777" w:rsidR="00602F33" w:rsidRPr="002E6552" w:rsidRDefault="00602F33" w:rsidP="004346E8">
      <w:pPr>
        <w:widowControl w:val="0"/>
        <w:tabs>
          <w:tab w:val="center" w:pos="4938"/>
          <w:tab w:val="right" w:pos="9091"/>
        </w:tabs>
        <w:autoSpaceDE w:val="0"/>
        <w:jc w:val="both"/>
        <w:rPr>
          <w:rFonts w:eastAsia="Arial Unicode MS"/>
        </w:rPr>
      </w:pPr>
    </w:p>
    <w:p w14:paraId="32317E80" w14:textId="5A6F271E" w:rsidR="00605BE6" w:rsidRPr="00314A92" w:rsidRDefault="00602F33" w:rsidP="00605BE6">
      <w:pPr>
        <w:pStyle w:val="ListParagraph"/>
        <w:widowControl w:val="0"/>
        <w:numPr>
          <w:ilvl w:val="0"/>
          <w:numId w:val="38"/>
        </w:numPr>
        <w:tabs>
          <w:tab w:val="center" w:pos="4938"/>
          <w:tab w:val="right" w:pos="9091"/>
        </w:tabs>
        <w:autoSpaceDE w:val="0"/>
        <w:spacing w:line="240" w:lineRule="auto"/>
        <w:jc w:val="both"/>
        <w:rPr>
          <w:rFonts w:ascii="Times New Roman" w:eastAsia="Arial Unicode MS" w:hAnsi="Times New Roman"/>
          <w:sz w:val="24"/>
          <w:szCs w:val="24"/>
        </w:rPr>
      </w:pPr>
      <w:r w:rsidRPr="00314A92">
        <w:rPr>
          <w:rFonts w:ascii="Times New Roman" w:eastAsia="Arial Unicode MS" w:hAnsi="Times New Roman"/>
          <w:sz w:val="24"/>
          <w:szCs w:val="24"/>
        </w:rPr>
        <w:t xml:space="preserve">Abikõlblikud on </w:t>
      </w:r>
      <w:r w:rsidR="004A5645" w:rsidRPr="00314A92">
        <w:rPr>
          <w:rFonts w:ascii="Times New Roman" w:eastAsia="Arial Unicode MS" w:hAnsi="Times New Roman"/>
          <w:sz w:val="24"/>
          <w:szCs w:val="24"/>
        </w:rPr>
        <w:t>põhi</w:t>
      </w:r>
      <w:r w:rsidRPr="00314A92">
        <w:rPr>
          <w:rFonts w:ascii="Times New Roman" w:eastAsia="Arial Unicode MS" w:hAnsi="Times New Roman"/>
          <w:sz w:val="24"/>
          <w:szCs w:val="24"/>
        </w:rPr>
        <w:t xml:space="preserve">taotluse rahuldamise otsusega kinnitatud tegevuste elluviimiseks vajalikud kulud, mis vastavad Vabariigi Valitsuse </w:t>
      </w:r>
      <w:r w:rsidR="00A74335" w:rsidRPr="00314A92">
        <w:rPr>
          <w:rFonts w:ascii="Times New Roman" w:eastAsia="Arial Unicode MS" w:hAnsi="Times New Roman"/>
          <w:sz w:val="24"/>
          <w:szCs w:val="24"/>
        </w:rPr>
        <w:t xml:space="preserve">1. septembri 2014. a </w:t>
      </w:r>
      <w:r w:rsidRPr="00314A92">
        <w:rPr>
          <w:rFonts w:ascii="Times New Roman" w:eastAsia="Arial Unicode MS" w:hAnsi="Times New Roman"/>
          <w:sz w:val="24"/>
          <w:szCs w:val="24"/>
        </w:rPr>
        <w:lastRenderedPageBreak/>
        <w:t>määruse nr</w:t>
      </w:r>
      <w:r w:rsidR="00A74335" w:rsidRPr="00314A92">
        <w:rPr>
          <w:rFonts w:ascii="Times New Roman" w:eastAsia="Arial Unicode MS" w:hAnsi="Times New Roman"/>
          <w:sz w:val="24"/>
          <w:szCs w:val="24"/>
        </w:rPr>
        <w:t xml:space="preserve"> 143</w:t>
      </w:r>
      <w:r w:rsidRPr="00314A92">
        <w:rPr>
          <w:rFonts w:ascii="Times New Roman" w:eastAsia="Arial Unicode MS" w:hAnsi="Times New Roman"/>
          <w:sz w:val="24"/>
          <w:szCs w:val="24"/>
        </w:rPr>
        <w:t xml:space="preserve">  „Perioodi 2014–2020 struktuuritoetusest hüvitatavate kulude abikõlblikuks lugemise, toetuse maksmise ning finantskorrektsioonide tegemise tingimused ja kord“ (edaspidi ühendmäärus) §-s 2 ning käesolevas määruses sätestatud tingimustele. Lisaks sätestab eelnõu perioodi, mille jooksul toetuse kulud loetakse abikõlblikuks. Vastavalt eeltoodule peab abikõlblik kulu olema tasutud projekti abikõlblikkuse perioodil või 45 kalendripäeva jooksul pärast projekti abikõlblikkuse perioodi</w:t>
      </w:r>
      <w:r w:rsidR="00605BE6" w:rsidRPr="00314A92">
        <w:rPr>
          <w:rFonts w:ascii="Times New Roman" w:eastAsia="Arial Unicode MS" w:hAnsi="Times New Roman"/>
          <w:sz w:val="24"/>
          <w:szCs w:val="24"/>
        </w:rPr>
        <w:t xml:space="preserve"> </w:t>
      </w:r>
    </w:p>
    <w:p w14:paraId="6E6A2B6C" w14:textId="77777777" w:rsidR="00781FA3" w:rsidRPr="002E6552" w:rsidRDefault="00781FA3" w:rsidP="004346E8">
      <w:pPr>
        <w:widowControl w:val="0"/>
        <w:tabs>
          <w:tab w:val="center" w:pos="4938"/>
          <w:tab w:val="right" w:pos="9091"/>
        </w:tabs>
        <w:autoSpaceDE w:val="0"/>
        <w:jc w:val="both"/>
        <w:rPr>
          <w:rFonts w:eastAsia="Arial Unicode MS"/>
        </w:rPr>
      </w:pPr>
      <w:r w:rsidRPr="002E6552">
        <w:rPr>
          <w:rFonts w:eastAsia="Arial Unicode MS"/>
        </w:rPr>
        <w:t>Projekti abikõlblikud kulud on eelnõu tekstis seotud toetatavate tegevustega, tuues abikõlblikud kulud välja iga tegevuse lõikes eraldi.</w:t>
      </w:r>
    </w:p>
    <w:p w14:paraId="7A10CFC8" w14:textId="77777777" w:rsidR="00781FA3" w:rsidRPr="002E6552" w:rsidRDefault="00781FA3" w:rsidP="004346E8">
      <w:pPr>
        <w:widowControl w:val="0"/>
        <w:tabs>
          <w:tab w:val="center" w:pos="4938"/>
          <w:tab w:val="right" w:pos="9091"/>
        </w:tabs>
        <w:autoSpaceDE w:val="0"/>
        <w:jc w:val="both"/>
        <w:rPr>
          <w:rFonts w:eastAsia="Arial Unicode MS"/>
        </w:rPr>
      </w:pPr>
    </w:p>
    <w:p w14:paraId="1B3BC8EA" w14:textId="77777777" w:rsidR="00605BE6" w:rsidRPr="00605BE6" w:rsidRDefault="00807AE6" w:rsidP="00605BE6">
      <w:pPr>
        <w:widowControl w:val="0"/>
        <w:tabs>
          <w:tab w:val="center" w:pos="4938"/>
          <w:tab w:val="right" w:pos="9091"/>
        </w:tabs>
        <w:autoSpaceDE w:val="0"/>
        <w:jc w:val="both"/>
        <w:rPr>
          <w:rFonts w:eastAsia="Arial Unicode MS"/>
        </w:rPr>
      </w:pPr>
      <w:r>
        <w:rPr>
          <w:rFonts w:eastAsia="Arial Unicode MS"/>
        </w:rPr>
        <w:t>Ettevõtja p</w:t>
      </w:r>
      <w:r w:rsidR="00D54BC2">
        <w:rPr>
          <w:rFonts w:eastAsia="Arial Unicode MS"/>
        </w:rPr>
        <w:t>ersonaliarend</w:t>
      </w:r>
      <w:r w:rsidR="00605BE6">
        <w:rPr>
          <w:rFonts w:eastAsia="Arial Unicode MS"/>
        </w:rPr>
        <w:t xml:space="preserve">ustegevuse kulude alla kuuluvad arenguplaani elluviimisega seotud töötajate </w:t>
      </w:r>
      <w:r w:rsidR="00605BE6" w:rsidRPr="00605BE6">
        <w:rPr>
          <w:rFonts w:eastAsia="Arial Unicode MS"/>
        </w:rPr>
        <w:t xml:space="preserve">sisseostetavate koolituste koolituskulud: </w:t>
      </w:r>
    </w:p>
    <w:p w14:paraId="5F978210" w14:textId="3FFA440B" w:rsidR="00605BE6" w:rsidRPr="00605BE6" w:rsidRDefault="00605BE6" w:rsidP="00605BE6">
      <w:pPr>
        <w:pStyle w:val="ListParagraph"/>
        <w:widowControl w:val="0"/>
        <w:numPr>
          <w:ilvl w:val="0"/>
          <w:numId w:val="45"/>
        </w:numPr>
        <w:tabs>
          <w:tab w:val="center" w:pos="4938"/>
          <w:tab w:val="right" w:pos="9091"/>
        </w:tabs>
        <w:autoSpaceDE w:val="0"/>
        <w:spacing w:line="240" w:lineRule="auto"/>
        <w:jc w:val="both"/>
        <w:rPr>
          <w:rFonts w:ascii="Times New Roman" w:eastAsia="Arial Unicode MS" w:hAnsi="Times New Roman"/>
          <w:sz w:val="24"/>
          <w:szCs w:val="24"/>
        </w:rPr>
      </w:pPr>
      <w:r w:rsidRPr="00605BE6">
        <w:rPr>
          <w:rFonts w:ascii="Times New Roman" w:eastAsia="Arial Unicode MS" w:hAnsi="Times New Roman"/>
          <w:sz w:val="24"/>
          <w:szCs w:val="24"/>
        </w:rPr>
        <w:t>koolitajate personalikulu vastavalt ühendmääruse § 3 lõike 1 punktides 1 ja 4 sätestatud tingimustele;</w:t>
      </w:r>
    </w:p>
    <w:p w14:paraId="52657D79" w14:textId="6B22A4A5" w:rsidR="00605BE6" w:rsidRPr="00605BE6" w:rsidRDefault="00605BE6" w:rsidP="00605BE6">
      <w:pPr>
        <w:pStyle w:val="ListParagraph"/>
        <w:widowControl w:val="0"/>
        <w:numPr>
          <w:ilvl w:val="0"/>
          <w:numId w:val="45"/>
        </w:numPr>
        <w:tabs>
          <w:tab w:val="center" w:pos="4938"/>
          <w:tab w:val="right" w:pos="9091"/>
        </w:tabs>
        <w:autoSpaceDE w:val="0"/>
        <w:spacing w:line="240" w:lineRule="auto"/>
        <w:jc w:val="both"/>
        <w:rPr>
          <w:rFonts w:ascii="Times New Roman" w:eastAsia="Arial Unicode MS" w:hAnsi="Times New Roman"/>
          <w:sz w:val="24"/>
          <w:szCs w:val="24"/>
        </w:rPr>
      </w:pPr>
      <w:r w:rsidRPr="00605BE6">
        <w:rPr>
          <w:rFonts w:ascii="Times New Roman" w:eastAsia="Arial Unicode MS" w:hAnsi="Times New Roman"/>
          <w:sz w:val="24"/>
          <w:szCs w:val="24"/>
        </w:rPr>
        <w:t xml:space="preserve">koolitatavate otseselt koolitusprojektiga seotud </w:t>
      </w:r>
      <w:r w:rsidR="00B875D7" w:rsidRPr="00605BE6">
        <w:rPr>
          <w:rFonts w:ascii="Times New Roman" w:eastAsia="Arial Unicode MS" w:hAnsi="Times New Roman"/>
          <w:sz w:val="24"/>
          <w:szCs w:val="24"/>
        </w:rPr>
        <w:t>lähetus</w:t>
      </w:r>
      <w:r w:rsidR="00B875D7">
        <w:rPr>
          <w:rFonts w:ascii="Times New Roman" w:eastAsia="Arial Unicode MS" w:hAnsi="Times New Roman"/>
          <w:sz w:val="24"/>
          <w:szCs w:val="24"/>
        </w:rPr>
        <w:t>e transpordi</w:t>
      </w:r>
      <w:r w:rsidRPr="00605BE6">
        <w:rPr>
          <w:rFonts w:ascii="Times New Roman" w:eastAsia="Arial Unicode MS" w:hAnsi="Times New Roman"/>
          <w:sz w:val="24"/>
          <w:szCs w:val="24"/>
        </w:rPr>
        <w:t>kulud vastavalt ühendmääruse § 3 lõike 1 punktis 5 sätestatud tingimustele;</w:t>
      </w:r>
    </w:p>
    <w:p w14:paraId="72002E1B" w14:textId="54BE7975" w:rsidR="00D54BC2" w:rsidRPr="00605BE6" w:rsidRDefault="00605BE6" w:rsidP="00605BE6">
      <w:pPr>
        <w:pStyle w:val="ListParagraph"/>
        <w:widowControl w:val="0"/>
        <w:numPr>
          <w:ilvl w:val="0"/>
          <w:numId w:val="45"/>
        </w:numPr>
        <w:tabs>
          <w:tab w:val="center" w:pos="4938"/>
          <w:tab w:val="right" w:pos="9091"/>
        </w:tabs>
        <w:autoSpaceDE w:val="0"/>
        <w:spacing w:line="240" w:lineRule="auto"/>
        <w:jc w:val="both"/>
        <w:rPr>
          <w:rFonts w:ascii="Times New Roman" w:eastAsia="Arial Unicode MS" w:hAnsi="Times New Roman"/>
          <w:sz w:val="24"/>
          <w:szCs w:val="24"/>
        </w:rPr>
      </w:pPr>
      <w:r w:rsidRPr="00605BE6">
        <w:rPr>
          <w:rFonts w:ascii="Times New Roman" w:eastAsia="Arial Unicode MS" w:hAnsi="Times New Roman"/>
          <w:sz w:val="24"/>
          <w:szCs w:val="24"/>
        </w:rPr>
        <w:t xml:space="preserve">materjalide, tarvikute, töövahendite kulud ulatuses, mil neid kasutatakse üksnes projektiga seotud tegevuste elluviimiseks. </w:t>
      </w:r>
    </w:p>
    <w:p w14:paraId="7A00A6BD" w14:textId="141EB84F" w:rsidR="00380A93" w:rsidRDefault="00D54BC2" w:rsidP="004346E8">
      <w:pPr>
        <w:widowControl w:val="0"/>
        <w:tabs>
          <w:tab w:val="center" w:pos="4938"/>
          <w:tab w:val="right" w:pos="9091"/>
        </w:tabs>
        <w:autoSpaceDE w:val="0"/>
        <w:jc w:val="both"/>
        <w:rPr>
          <w:rFonts w:eastAsia="Arial Unicode MS"/>
        </w:rPr>
      </w:pPr>
      <w:r>
        <w:rPr>
          <w:rFonts w:eastAsia="Arial Unicode MS"/>
        </w:rPr>
        <w:t>Ettevõtja protsesside arendustegevuse abikõlblikud kulud on</w:t>
      </w:r>
      <w:r w:rsidR="00A74D43">
        <w:rPr>
          <w:rFonts w:eastAsia="Arial Unicode MS"/>
        </w:rPr>
        <w:t xml:space="preserve">: </w:t>
      </w:r>
      <w:r>
        <w:rPr>
          <w:rFonts w:eastAsia="Arial Unicode MS"/>
        </w:rPr>
        <w:t>nõustamisteenuse sisseostmiskulu</w:t>
      </w:r>
      <w:r w:rsidR="00A2543A">
        <w:rPr>
          <w:rFonts w:eastAsia="Arial Unicode MS"/>
        </w:rPr>
        <w:t>d ja töökorralduse parendamisega seotud kulud, sealhulgas</w:t>
      </w:r>
      <w:r>
        <w:rPr>
          <w:rFonts w:eastAsia="Arial Unicode MS"/>
        </w:rPr>
        <w:t xml:space="preserve"> tootlikkuse tõstmiseks vajamineva immateriaalse vara soetamise ja arendamisega seotud sisseostetud teenuste kulud. </w:t>
      </w:r>
      <w:r w:rsidR="00A2543A">
        <w:rPr>
          <w:rFonts w:eastAsia="Arial Unicode MS"/>
        </w:rPr>
        <w:t>Viimasete hulka loetakse</w:t>
      </w:r>
      <w:r w:rsidR="00A67F91">
        <w:rPr>
          <w:rFonts w:eastAsia="Arial Unicode MS"/>
        </w:rPr>
        <w:t xml:space="preserve"> protsesside, sealhulgas tootmisprotsesside juhtimise tarkvara lahenduste ja litsentside kulud ning kulud, mis on seotud </w:t>
      </w:r>
      <w:r w:rsidR="007D1954">
        <w:rPr>
          <w:rFonts w:eastAsia="Arial Unicode MS"/>
        </w:rPr>
        <w:t>nimetatud lahenduste ettevõtjate vajadustele</w:t>
      </w:r>
      <w:r w:rsidR="007D1954" w:rsidRPr="007D1954">
        <w:rPr>
          <w:rFonts w:eastAsia="Arial Unicode MS"/>
        </w:rPr>
        <w:t xml:space="preserve"> </w:t>
      </w:r>
      <w:r w:rsidR="007D1954">
        <w:rPr>
          <w:rFonts w:eastAsia="Arial Unicode MS"/>
        </w:rPr>
        <w:t>sobivaks arendamisega.</w:t>
      </w:r>
      <w:r w:rsidR="00605BE6">
        <w:rPr>
          <w:rFonts w:eastAsia="Arial Unicode MS"/>
        </w:rPr>
        <w:t xml:space="preserve"> Lisaks on abikõlblikud organisatsiooni protsessi arendamiskulude seas uute arenguplaani elluviimisega seotud arendustöötajate ning uute töölepingu alusel töötavate juhtide personalikulud</w:t>
      </w:r>
      <w:r w:rsidR="007A264C">
        <w:rPr>
          <w:rFonts w:eastAsia="Arial Unicode MS"/>
        </w:rPr>
        <w:t xml:space="preserve"> vastavalt ühendmääruse </w:t>
      </w:r>
      <w:r w:rsidR="007A264C" w:rsidRPr="007A264C">
        <w:rPr>
          <w:rFonts w:eastAsia="Arial Unicode MS"/>
        </w:rPr>
        <w:t>§ 3 lõike 1 punktides 1–5 sätestatud tingimustele</w:t>
      </w:r>
      <w:r w:rsidR="00605BE6">
        <w:rPr>
          <w:rFonts w:eastAsia="Arial Unicode MS"/>
        </w:rPr>
        <w:t>.</w:t>
      </w:r>
      <w:r w:rsidR="00605BE6" w:rsidRPr="00D54BC2">
        <w:rPr>
          <w:rFonts w:eastAsia="Arial Unicode MS"/>
        </w:rPr>
        <w:t xml:space="preserve">  </w:t>
      </w:r>
    </w:p>
    <w:p w14:paraId="06099879" w14:textId="77777777" w:rsidR="00356F7E" w:rsidRDefault="00356F7E" w:rsidP="004346E8">
      <w:pPr>
        <w:widowControl w:val="0"/>
        <w:tabs>
          <w:tab w:val="center" w:pos="4938"/>
          <w:tab w:val="right" w:pos="9091"/>
        </w:tabs>
        <w:autoSpaceDE w:val="0"/>
        <w:jc w:val="both"/>
        <w:rPr>
          <w:rFonts w:eastAsia="Arial Unicode MS"/>
        </w:rPr>
      </w:pPr>
    </w:p>
    <w:p w14:paraId="392B1E84" w14:textId="77777777" w:rsidR="007D1954" w:rsidRDefault="007D1954" w:rsidP="004346E8">
      <w:pPr>
        <w:widowControl w:val="0"/>
        <w:tabs>
          <w:tab w:val="center" w:pos="4938"/>
          <w:tab w:val="right" w:pos="9091"/>
        </w:tabs>
        <w:autoSpaceDE w:val="0"/>
        <w:jc w:val="both"/>
        <w:rPr>
          <w:rFonts w:eastAsia="Arial Unicode MS"/>
        </w:rPr>
      </w:pPr>
      <w:r>
        <w:rPr>
          <w:rFonts w:eastAsia="Arial Unicode MS"/>
        </w:rPr>
        <w:t>Uute toodete ja teenuste arendamisega seotud kuludest on abikõlblikud:</w:t>
      </w:r>
    </w:p>
    <w:p w14:paraId="463E8F82" w14:textId="03A39D77" w:rsidR="007D1954" w:rsidRPr="007D1954" w:rsidRDefault="00A2543A" w:rsidP="004346E8">
      <w:pPr>
        <w:pStyle w:val="ListParagraph"/>
        <w:widowControl w:val="0"/>
        <w:numPr>
          <w:ilvl w:val="0"/>
          <w:numId w:val="39"/>
        </w:numPr>
        <w:tabs>
          <w:tab w:val="center" w:pos="4938"/>
          <w:tab w:val="right" w:pos="9091"/>
        </w:tabs>
        <w:autoSpaceDE w:val="0"/>
        <w:spacing w:line="240" w:lineRule="auto"/>
        <w:jc w:val="both"/>
        <w:rPr>
          <w:rFonts w:eastAsia="Arial Unicode MS"/>
        </w:rPr>
      </w:pPr>
      <w:r>
        <w:rPr>
          <w:rFonts w:ascii="Times New Roman" w:eastAsia="Arial Unicode MS" w:hAnsi="Times New Roman"/>
          <w:sz w:val="24"/>
          <w:szCs w:val="24"/>
        </w:rPr>
        <w:t>arendustöö läbiviimisega</w:t>
      </w:r>
      <w:r w:rsidR="007D1954">
        <w:rPr>
          <w:rFonts w:ascii="Times New Roman" w:eastAsia="Arial Unicode MS" w:hAnsi="Times New Roman"/>
          <w:sz w:val="24"/>
          <w:szCs w:val="24"/>
        </w:rPr>
        <w:t xml:space="preserve"> seotud töötajate personalikulu</w:t>
      </w:r>
      <w:r w:rsidR="00777D8F">
        <w:rPr>
          <w:rFonts w:ascii="Times New Roman" w:eastAsia="Arial Unicode MS" w:hAnsi="Times New Roman"/>
          <w:sz w:val="24"/>
          <w:szCs w:val="24"/>
        </w:rPr>
        <w:t>d</w:t>
      </w:r>
      <w:r w:rsidR="007D1954">
        <w:rPr>
          <w:rFonts w:ascii="Times New Roman" w:eastAsia="Arial Unicode MS" w:hAnsi="Times New Roman"/>
          <w:sz w:val="24"/>
          <w:szCs w:val="24"/>
        </w:rPr>
        <w:t>;</w:t>
      </w:r>
    </w:p>
    <w:p w14:paraId="69145B18" w14:textId="77777777" w:rsidR="007D1954" w:rsidRPr="00777D8F" w:rsidRDefault="00871EB8" w:rsidP="004346E8">
      <w:pPr>
        <w:pStyle w:val="ListParagraph"/>
        <w:widowControl w:val="0"/>
        <w:numPr>
          <w:ilvl w:val="0"/>
          <w:numId w:val="39"/>
        </w:numPr>
        <w:tabs>
          <w:tab w:val="center" w:pos="4938"/>
          <w:tab w:val="right" w:pos="9091"/>
        </w:tabs>
        <w:autoSpaceDE w:val="0"/>
        <w:spacing w:line="240" w:lineRule="auto"/>
        <w:jc w:val="both"/>
        <w:rPr>
          <w:rFonts w:eastAsia="Arial Unicode MS"/>
        </w:rPr>
      </w:pPr>
      <w:r>
        <w:rPr>
          <w:rFonts w:ascii="Times New Roman" w:eastAsia="Arial Unicode MS" w:hAnsi="Times New Roman"/>
          <w:sz w:val="24"/>
          <w:szCs w:val="24"/>
        </w:rPr>
        <w:t xml:space="preserve">arendustööks vajamineva ettevõttevälise teadmise sisseotsmise kulud. Nimetatud kulude hulka kuuluvad näiteks patentide sisseostmise ja litsentseerimiskulud, uuringute ning </w:t>
      </w:r>
      <w:r w:rsidR="00777D8F">
        <w:rPr>
          <w:rFonts w:ascii="Times New Roman" w:eastAsia="Arial Unicode MS" w:hAnsi="Times New Roman"/>
          <w:sz w:val="24"/>
          <w:szCs w:val="24"/>
        </w:rPr>
        <w:t>nõustamisteenuste kulud;</w:t>
      </w:r>
    </w:p>
    <w:p w14:paraId="4CF7A500" w14:textId="77777777" w:rsidR="00777D8F" w:rsidRDefault="00777D8F" w:rsidP="004346E8">
      <w:pPr>
        <w:pStyle w:val="ListParagraph"/>
        <w:widowControl w:val="0"/>
        <w:numPr>
          <w:ilvl w:val="0"/>
          <w:numId w:val="39"/>
        </w:numPr>
        <w:tabs>
          <w:tab w:val="center" w:pos="4938"/>
          <w:tab w:val="right" w:pos="9091"/>
        </w:tabs>
        <w:autoSpaceDE w:val="0"/>
        <w:spacing w:line="240" w:lineRule="auto"/>
        <w:jc w:val="both"/>
        <w:rPr>
          <w:rFonts w:ascii="Times New Roman" w:eastAsia="Arial Unicode MS" w:hAnsi="Times New Roman"/>
          <w:sz w:val="24"/>
          <w:szCs w:val="24"/>
        </w:rPr>
      </w:pPr>
      <w:r>
        <w:rPr>
          <w:rFonts w:ascii="Times New Roman" w:eastAsia="Arial Unicode MS" w:hAnsi="Times New Roman"/>
          <w:sz w:val="24"/>
          <w:szCs w:val="24"/>
        </w:rPr>
        <w:t>materjalide ja tarvikute kulud;</w:t>
      </w:r>
    </w:p>
    <w:p w14:paraId="5381BF73" w14:textId="424A9EA1" w:rsidR="00777D8F" w:rsidRDefault="00777D8F" w:rsidP="004346E8">
      <w:pPr>
        <w:pStyle w:val="ListParagraph"/>
        <w:widowControl w:val="0"/>
        <w:numPr>
          <w:ilvl w:val="0"/>
          <w:numId w:val="39"/>
        </w:numPr>
        <w:tabs>
          <w:tab w:val="center" w:pos="4938"/>
          <w:tab w:val="right" w:pos="9091"/>
        </w:tabs>
        <w:autoSpaceDE w:val="0"/>
        <w:spacing w:line="240" w:lineRule="auto"/>
        <w:jc w:val="both"/>
        <w:rPr>
          <w:rFonts w:ascii="Times New Roman" w:eastAsia="Arial Unicode MS" w:hAnsi="Times New Roman"/>
          <w:sz w:val="24"/>
          <w:szCs w:val="24"/>
        </w:rPr>
      </w:pPr>
      <w:r>
        <w:rPr>
          <w:rFonts w:ascii="Times New Roman" w:eastAsia="Arial Unicode MS" w:hAnsi="Times New Roman"/>
          <w:sz w:val="24"/>
          <w:szCs w:val="24"/>
        </w:rPr>
        <w:t>uute toodete, teenuste ja protsesside seotud nõuandeteenuse siss</w:t>
      </w:r>
      <w:r w:rsidR="003236BE">
        <w:rPr>
          <w:rFonts w:ascii="Times New Roman" w:eastAsia="Arial Unicode MS" w:hAnsi="Times New Roman"/>
          <w:sz w:val="24"/>
          <w:szCs w:val="24"/>
        </w:rPr>
        <w:t>eostmise ja tugiteenuste kulud;</w:t>
      </w:r>
    </w:p>
    <w:p w14:paraId="22A2449E" w14:textId="638534C9" w:rsidR="003236BE" w:rsidRPr="003236BE" w:rsidRDefault="003236BE" w:rsidP="003236BE">
      <w:pPr>
        <w:pStyle w:val="ListParagraph"/>
        <w:numPr>
          <w:ilvl w:val="0"/>
          <w:numId w:val="39"/>
        </w:numPr>
        <w:rPr>
          <w:rFonts w:ascii="Times New Roman" w:eastAsia="Arial Unicode MS" w:hAnsi="Times New Roman"/>
          <w:sz w:val="24"/>
          <w:szCs w:val="24"/>
        </w:rPr>
      </w:pPr>
      <w:r w:rsidRPr="003236BE">
        <w:rPr>
          <w:rFonts w:ascii="Times New Roman" w:eastAsia="Arial Unicode MS" w:hAnsi="Times New Roman"/>
          <w:sz w:val="24"/>
          <w:szCs w:val="24"/>
        </w:rPr>
        <w:t>patendi ja muu immateriaalse vara valideerimise ja kaitsmise kulud</w:t>
      </w:r>
      <w:r>
        <w:rPr>
          <w:rFonts w:ascii="Times New Roman" w:eastAsia="Arial Unicode MS" w:hAnsi="Times New Roman"/>
          <w:sz w:val="24"/>
          <w:szCs w:val="24"/>
        </w:rPr>
        <w:t>.</w:t>
      </w:r>
    </w:p>
    <w:p w14:paraId="339A7F70" w14:textId="77777777" w:rsidR="00777D8F" w:rsidRDefault="00777D8F" w:rsidP="004346E8">
      <w:pPr>
        <w:widowControl w:val="0"/>
        <w:tabs>
          <w:tab w:val="center" w:pos="4938"/>
          <w:tab w:val="right" w:pos="9091"/>
        </w:tabs>
        <w:autoSpaceDE w:val="0"/>
        <w:jc w:val="both"/>
        <w:rPr>
          <w:rFonts w:eastAsia="Arial Unicode MS"/>
        </w:rPr>
      </w:pPr>
      <w:r>
        <w:rPr>
          <w:rFonts w:eastAsia="Arial Unicode MS"/>
        </w:rPr>
        <w:t xml:space="preserve">Lisaks on abikõlblikud </w:t>
      </w:r>
      <w:r w:rsidRPr="00777D8F">
        <w:rPr>
          <w:rFonts w:eastAsia="Arial Unicode MS"/>
        </w:rPr>
        <w:t>uute ja kõrge lisandväärtusega toodete ja teenuste valmistamisega seotud masinate ja seadmete ning nende kasutamiseks vajamineva immateriaalse vara, sealhulgas litsentside, investeeringute kulud</w:t>
      </w:r>
      <w:r>
        <w:rPr>
          <w:rFonts w:eastAsia="Arial Unicode MS"/>
        </w:rPr>
        <w:t xml:space="preserve">. </w:t>
      </w:r>
    </w:p>
    <w:p w14:paraId="44E034AB" w14:textId="77777777" w:rsidR="00A2543A" w:rsidRPr="002E6552" w:rsidRDefault="00A2543A" w:rsidP="004346E8">
      <w:pPr>
        <w:widowControl w:val="0"/>
        <w:tabs>
          <w:tab w:val="center" w:pos="4938"/>
          <w:tab w:val="right" w:pos="9091"/>
        </w:tabs>
        <w:autoSpaceDE w:val="0"/>
        <w:jc w:val="both"/>
        <w:rPr>
          <w:rFonts w:eastAsia="Arial Unicode MS"/>
        </w:rPr>
      </w:pPr>
    </w:p>
    <w:p w14:paraId="4917AB4D" w14:textId="0846DCDD" w:rsidR="00356F7E" w:rsidRPr="002E6552" w:rsidRDefault="00A2543A" w:rsidP="004346E8">
      <w:pPr>
        <w:widowControl w:val="0"/>
        <w:tabs>
          <w:tab w:val="center" w:pos="4938"/>
          <w:tab w:val="right" w:pos="9091"/>
        </w:tabs>
        <w:autoSpaceDE w:val="0"/>
        <w:jc w:val="both"/>
        <w:rPr>
          <w:rFonts w:eastAsia="Arial Unicode MS"/>
        </w:rPr>
      </w:pPr>
      <w:r>
        <w:rPr>
          <w:rFonts w:eastAsia="Arial Unicode MS"/>
        </w:rPr>
        <w:t xml:space="preserve">Eraldi on eelnõus välja toodud, et </w:t>
      </w:r>
      <w:r w:rsidR="00885BA6" w:rsidRPr="002E6552">
        <w:rPr>
          <w:rFonts w:eastAsia="Arial Unicode MS"/>
        </w:rPr>
        <w:t>kõik toetusest hüvitatavad kulud peavad olema abikõlblikud, projektiga otseselt seotud,</w:t>
      </w:r>
      <w:r>
        <w:rPr>
          <w:rFonts w:eastAsia="Arial Unicode MS"/>
        </w:rPr>
        <w:t xml:space="preserve"> </w:t>
      </w:r>
      <w:r w:rsidR="00885BA6" w:rsidRPr="002E6552">
        <w:rPr>
          <w:rFonts w:eastAsia="Arial Unicode MS"/>
        </w:rPr>
        <w:t xml:space="preserve"> projekti elluviimiseks vajalikud ning põhjendatud ja läbipaistvad.</w:t>
      </w:r>
    </w:p>
    <w:p w14:paraId="2C138AFB" w14:textId="77777777" w:rsidR="00602F33" w:rsidRPr="002E6552" w:rsidRDefault="00602F33" w:rsidP="004346E8">
      <w:pPr>
        <w:widowControl w:val="0"/>
        <w:tabs>
          <w:tab w:val="center" w:pos="4938"/>
          <w:tab w:val="right" w:pos="9091"/>
        </w:tabs>
        <w:autoSpaceDE w:val="0"/>
        <w:jc w:val="both"/>
        <w:rPr>
          <w:rFonts w:eastAsia="Arial Unicode MS"/>
          <w:u w:val="single"/>
        </w:rPr>
      </w:pPr>
    </w:p>
    <w:p w14:paraId="04C78924" w14:textId="77777777" w:rsidR="00885BA6" w:rsidRPr="002E6552" w:rsidRDefault="00885BA6" w:rsidP="004346E8">
      <w:pPr>
        <w:widowControl w:val="0"/>
        <w:tabs>
          <w:tab w:val="center" w:pos="4938"/>
          <w:tab w:val="right" w:pos="9091"/>
        </w:tabs>
        <w:autoSpaceDE w:val="0"/>
        <w:jc w:val="both"/>
        <w:rPr>
          <w:rFonts w:eastAsia="Arial Unicode MS"/>
        </w:rPr>
      </w:pPr>
      <w:r w:rsidRPr="002E6552">
        <w:rPr>
          <w:rFonts w:eastAsia="Arial Unicode MS"/>
          <w:u w:val="single"/>
        </w:rPr>
        <w:t>Eelnõu §</w:t>
      </w:r>
      <w:r w:rsidR="00F2413C" w:rsidRPr="002E6552">
        <w:rPr>
          <w:rFonts w:eastAsia="Arial Unicode MS"/>
          <w:u w:val="single"/>
        </w:rPr>
        <w:t>-is</w:t>
      </w:r>
      <w:r w:rsidR="00ED46FA">
        <w:rPr>
          <w:rFonts w:eastAsia="Arial Unicode MS"/>
          <w:u w:val="single"/>
        </w:rPr>
        <w:t xml:space="preserve"> 9</w:t>
      </w:r>
      <w:r w:rsidR="00F2413C" w:rsidRPr="002E6552">
        <w:rPr>
          <w:rFonts w:eastAsia="Arial Unicode MS"/>
        </w:rPr>
        <w:t xml:space="preserve"> määratakse</w:t>
      </w:r>
      <w:r w:rsidRPr="002E6552">
        <w:rPr>
          <w:rFonts w:eastAsia="Arial Unicode MS"/>
        </w:rPr>
        <w:t xml:space="preserve"> projekti abikõlblikkuse periood.</w:t>
      </w:r>
    </w:p>
    <w:p w14:paraId="75E4E844" w14:textId="77777777" w:rsidR="00ED46FA" w:rsidRDefault="00ED46FA" w:rsidP="004346E8">
      <w:pPr>
        <w:rPr>
          <w:rFonts w:eastAsia="Arial Unicode MS"/>
        </w:rPr>
      </w:pPr>
    </w:p>
    <w:p w14:paraId="0A5F7DCF" w14:textId="47225383" w:rsidR="00ED46FA" w:rsidRDefault="00ED46FA" w:rsidP="004346E8">
      <w:pPr>
        <w:jc w:val="both"/>
        <w:rPr>
          <w:rFonts w:eastAsia="Arial Unicode MS"/>
        </w:rPr>
      </w:pPr>
      <w:r w:rsidRPr="00ED46FA">
        <w:rPr>
          <w:rFonts w:eastAsia="Arial Unicode MS"/>
        </w:rPr>
        <w:lastRenderedPageBreak/>
        <w:t xml:space="preserve">Projekti abikõlblikkuse periood algab taotluse rakendusüksusele esitamise kuupäevast või taotluses märgitud ja taotluse rahuldamise otsuses sätestatud hilisemast kuupäevast ning lõpeb taotluses märgitud ja taotluse rahuldamise otsuses sätestatud kuupäeval, kuid mitte hiljem kui 31. oktoobril 2023. a. </w:t>
      </w:r>
    </w:p>
    <w:p w14:paraId="4A8E0CE4" w14:textId="77777777" w:rsidR="007A264C" w:rsidRDefault="007A264C" w:rsidP="004346E8">
      <w:pPr>
        <w:jc w:val="both"/>
        <w:rPr>
          <w:rFonts w:eastAsia="Arial Unicode MS"/>
        </w:rPr>
      </w:pPr>
    </w:p>
    <w:p w14:paraId="0C6A2C3E" w14:textId="727CB463" w:rsidR="00ED46FA" w:rsidRPr="002E6552" w:rsidRDefault="00ED46FA" w:rsidP="004346E8">
      <w:pPr>
        <w:jc w:val="both"/>
        <w:rPr>
          <w:rFonts w:eastAsia="Arial Unicode MS"/>
        </w:rPr>
      </w:pPr>
      <w:r>
        <w:rPr>
          <w:rFonts w:eastAsia="Arial Unicode MS"/>
        </w:rPr>
        <w:t xml:space="preserve">Ettevõtja viib arenguplaani ellu etapiviisiliselt. </w:t>
      </w:r>
      <w:r w:rsidR="007A264C">
        <w:rPr>
          <w:rFonts w:eastAsia="Arial Unicode MS"/>
        </w:rPr>
        <w:t xml:space="preserve">Projekt on arenguplaani </w:t>
      </w:r>
      <w:r w:rsidR="001D58C8">
        <w:rPr>
          <w:rFonts w:eastAsia="Arial Unicode MS"/>
        </w:rPr>
        <w:t xml:space="preserve">ühe etapi </w:t>
      </w:r>
      <w:r w:rsidR="007A264C">
        <w:rPr>
          <w:rFonts w:eastAsia="Arial Unicode MS"/>
        </w:rPr>
        <w:t xml:space="preserve">osa, mille tegevusi rahastatakse antud eelnõu toel. </w:t>
      </w:r>
      <w:r w:rsidR="00E709A5">
        <w:rPr>
          <w:rFonts w:eastAsia="Arial Unicode MS"/>
        </w:rPr>
        <w:t>Ühe proj</w:t>
      </w:r>
      <w:r w:rsidR="00C13DD5">
        <w:rPr>
          <w:rFonts w:eastAsia="Arial Unicode MS"/>
        </w:rPr>
        <w:t>ekti pikkus on maksiamaalselt 18</w:t>
      </w:r>
      <w:r w:rsidR="00E709A5">
        <w:rPr>
          <w:rFonts w:eastAsia="Arial Unicode MS"/>
        </w:rPr>
        <w:t xml:space="preserve"> kuud. </w:t>
      </w:r>
      <w:r w:rsidR="00E709A5" w:rsidRPr="00E709A5">
        <w:rPr>
          <w:rFonts w:eastAsia="Arial Unicode MS"/>
        </w:rPr>
        <w:t>Projekt loetakse lõppenuks pärast lõpparuande kinnitamist rakendusüksuse poolt ja toetuse saajale lõppmakse tegemist.</w:t>
      </w:r>
    </w:p>
    <w:p w14:paraId="60300948" w14:textId="77777777" w:rsidR="001E42C5" w:rsidRPr="002E6552" w:rsidRDefault="001E42C5" w:rsidP="004346E8">
      <w:pPr>
        <w:jc w:val="both"/>
        <w:rPr>
          <w:rFonts w:eastAsia="Arial Unicode MS"/>
        </w:rPr>
      </w:pPr>
    </w:p>
    <w:p w14:paraId="2DE1094A" w14:textId="77777777" w:rsidR="001E42C5" w:rsidRPr="002E6552" w:rsidRDefault="001E42C5" w:rsidP="004346E8">
      <w:pPr>
        <w:jc w:val="both"/>
        <w:rPr>
          <w:rFonts w:eastAsia="Arial Unicode MS"/>
        </w:rPr>
      </w:pPr>
      <w:r w:rsidRPr="002E6552">
        <w:rPr>
          <w:rFonts w:eastAsia="Arial Unicode MS"/>
          <w:u w:val="single"/>
        </w:rPr>
        <w:t>Eeln</w:t>
      </w:r>
      <w:r w:rsidR="00E709A5">
        <w:rPr>
          <w:rFonts w:eastAsia="Arial Unicode MS"/>
          <w:u w:val="single"/>
        </w:rPr>
        <w:t>õu § 10</w:t>
      </w:r>
      <w:r w:rsidRPr="002E6552">
        <w:rPr>
          <w:rFonts w:eastAsia="Arial Unicode MS"/>
        </w:rPr>
        <w:t xml:space="preserve"> toob välja toetuse piirsummad- ja määrad.</w:t>
      </w:r>
    </w:p>
    <w:p w14:paraId="2D2E3892" w14:textId="77777777" w:rsidR="001E42C5" w:rsidRPr="002E6552" w:rsidRDefault="001E42C5" w:rsidP="004346E8">
      <w:pPr>
        <w:jc w:val="both"/>
        <w:rPr>
          <w:rFonts w:eastAsia="Arial Unicode MS"/>
        </w:rPr>
      </w:pPr>
    </w:p>
    <w:p w14:paraId="613D06F6" w14:textId="77777777" w:rsidR="001E42C5" w:rsidRDefault="00E709A5" w:rsidP="004346E8">
      <w:pPr>
        <w:jc w:val="both"/>
        <w:rPr>
          <w:rFonts w:eastAsia="Arial Unicode MS"/>
        </w:rPr>
      </w:pPr>
      <w:r>
        <w:rPr>
          <w:rFonts w:eastAsia="Arial Unicode MS"/>
        </w:rPr>
        <w:t>T</w:t>
      </w:r>
      <w:r w:rsidR="001E42C5" w:rsidRPr="002E6552">
        <w:rPr>
          <w:rFonts w:eastAsia="Arial Unicode MS"/>
        </w:rPr>
        <w:t>o</w:t>
      </w:r>
      <w:r w:rsidR="00EE4C3C">
        <w:rPr>
          <w:rFonts w:eastAsia="Arial Unicode MS"/>
        </w:rPr>
        <w:t xml:space="preserve">etuse maksimaalne summa ühe </w:t>
      </w:r>
      <w:r>
        <w:rPr>
          <w:rFonts w:eastAsia="Arial Unicode MS"/>
        </w:rPr>
        <w:t>äriühingu kohta on 5</w:t>
      </w:r>
      <w:r w:rsidR="001E42C5" w:rsidRPr="002E6552">
        <w:rPr>
          <w:rFonts w:eastAsia="Arial Unicode MS"/>
        </w:rPr>
        <w:t>00 000 eurot.</w:t>
      </w:r>
    </w:p>
    <w:p w14:paraId="0AF15E19" w14:textId="77777777" w:rsidR="001D58C8" w:rsidRPr="002E6552" w:rsidRDefault="001D58C8" w:rsidP="004346E8">
      <w:pPr>
        <w:jc w:val="both"/>
        <w:rPr>
          <w:rFonts w:eastAsia="Arial Unicode MS"/>
        </w:rPr>
      </w:pPr>
    </w:p>
    <w:p w14:paraId="7D4107F8" w14:textId="4C861C68" w:rsidR="001E42C5" w:rsidRDefault="001D58C8" w:rsidP="004346E8">
      <w:pPr>
        <w:jc w:val="both"/>
        <w:rPr>
          <w:rFonts w:eastAsia="Arial Unicode MS"/>
        </w:rPr>
      </w:pPr>
      <w:r w:rsidRPr="002E6552">
        <w:rPr>
          <w:rFonts w:eastAsia="Arial Unicode MS"/>
        </w:rPr>
        <w:t xml:space="preserve">Lisaks sätestab määrus, et </w:t>
      </w:r>
      <w:r>
        <w:rPr>
          <w:rFonts w:eastAsia="Arial Unicode MS"/>
        </w:rPr>
        <w:t>uute toodete tootmiseks ja uute teenuste pakkumiseks vajaminevate masinate ja seadmete ning nendega seotud immateriaalse vara maksimaalne toetussumma ühe äriühingu kohta on 100 000 eurot.</w:t>
      </w:r>
    </w:p>
    <w:p w14:paraId="68B395C9" w14:textId="77777777" w:rsidR="001D58C8" w:rsidRDefault="001D58C8" w:rsidP="004346E8">
      <w:pPr>
        <w:jc w:val="both"/>
        <w:rPr>
          <w:rFonts w:eastAsia="Arial Unicode MS"/>
        </w:rPr>
      </w:pPr>
    </w:p>
    <w:p w14:paraId="77461D5F" w14:textId="2193B599" w:rsidR="00314A92" w:rsidRDefault="00314A92" w:rsidP="004346E8">
      <w:pPr>
        <w:jc w:val="both"/>
        <w:rPr>
          <w:rFonts w:eastAsia="Arial Unicode MS"/>
        </w:rPr>
      </w:pPr>
      <w:r>
        <w:rPr>
          <w:rFonts w:eastAsia="Arial Unicode MS"/>
        </w:rPr>
        <w:t>Ettevõtja viib oma arenguplaani ellu etapiviisiliselt ja seetõttu on maksimaalne toetussumma sätestatud ettevõtja-põhiselt. Teisisõnu ei ole eelnõuga reguleeritud toetuse taotlemise arv  ja millises arenguplaani etapis võib ettevõtja toetust taotelda</w:t>
      </w:r>
      <w:r w:rsidR="001D58C8">
        <w:rPr>
          <w:rFonts w:eastAsia="Arial Unicode MS"/>
        </w:rPr>
        <w:t>, vaid maksimaalne toetussumma ühe ettevõtja kohta. Sellest tulenevalt saab</w:t>
      </w:r>
      <w:r>
        <w:rPr>
          <w:rFonts w:eastAsia="Arial Unicode MS"/>
        </w:rPr>
        <w:t xml:space="preserve"> ettevõtja taotelda toetust vastavalt arenguplaanile erinevates arenguplaani etappides, arvestades ettevõtja-põhist</w:t>
      </w:r>
      <w:r w:rsidR="003236BE">
        <w:rPr>
          <w:rFonts w:eastAsia="Arial Unicode MS"/>
        </w:rPr>
        <w:t xml:space="preserve"> </w:t>
      </w:r>
      <w:r>
        <w:rPr>
          <w:rFonts w:eastAsia="Arial Unicode MS"/>
        </w:rPr>
        <w:t>maksimaalset piirsummat.</w:t>
      </w:r>
    </w:p>
    <w:p w14:paraId="7FBECF1C" w14:textId="77777777" w:rsidR="00314A92" w:rsidRPr="002E6552" w:rsidRDefault="00314A92" w:rsidP="004346E8">
      <w:pPr>
        <w:jc w:val="both"/>
        <w:rPr>
          <w:rFonts w:eastAsia="Arial Unicode MS"/>
        </w:rPr>
      </w:pPr>
    </w:p>
    <w:p w14:paraId="5C893B75" w14:textId="297643CB" w:rsidR="00A70DD7" w:rsidRDefault="00AA47F7" w:rsidP="004346E8">
      <w:pPr>
        <w:jc w:val="both"/>
        <w:rPr>
          <w:rFonts w:eastAsia="Arial Unicode MS"/>
        </w:rPr>
      </w:pPr>
      <w:r>
        <w:rPr>
          <w:rFonts w:eastAsia="Arial Unicode MS"/>
        </w:rPr>
        <w:t>T</w:t>
      </w:r>
      <w:r w:rsidR="00A70DD7" w:rsidRPr="002E6552">
        <w:rPr>
          <w:rFonts w:eastAsia="Arial Unicode MS"/>
        </w:rPr>
        <w:t>egevuste toetusmäär</w:t>
      </w:r>
      <w:r w:rsidR="00BF6307">
        <w:rPr>
          <w:rFonts w:eastAsia="Arial Unicode MS"/>
        </w:rPr>
        <w:t>ade</w:t>
      </w:r>
      <w:r w:rsidR="00A70DD7" w:rsidRPr="002E6552">
        <w:rPr>
          <w:rFonts w:eastAsia="Arial Unicode MS"/>
        </w:rPr>
        <w:t xml:space="preserve"> määramisel on lähtutud üldise grupierandi</w:t>
      </w:r>
      <w:r w:rsidR="001E2148">
        <w:rPr>
          <w:rFonts w:eastAsia="Arial Unicode MS"/>
        </w:rPr>
        <w:t xml:space="preserve"> määrusega sätestatud määradest. Arenguplaani elluviimine võib eeldada mitmete paralleelsete tegevuste samaaegset </w:t>
      </w:r>
      <w:r w:rsidR="00C538D5">
        <w:rPr>
          <w:rFonts w:eastAsia="Arial Unicode MS"/>
        </w:rPr>
        <w:t>teostamist. Se</w:t>
      </w:r>
      <w:r w:rsidR="00C24561">
        <w:rPr>
          <w:rFonts w:eastAsia="Arial Unicode MS"/>
        </w:rPr>
        <w:t>etõttu</w:t>
      </w:r>
      <w:r w:rsidR="00BF6307">
        <w:rPr>
          <w:rFonts w:eastAsia="Arial Unicode MS"/>
        </w:rPr>
        <w:t xml:space="preserve"> võib</w:t>
      </w:r>
      <w:r w:rsidR="00C538D5">
        <w:rPr>
          <w:rFonts w:eastAsia="Arial Unicode MS"/>
        </w:rPr>
        <w:t xml:space="preserve"> eelnõu alusel rahastatav projekt sisaldada erinevaid tegevusi. </w:t>
      </w:r>
      <w:r w:rsidR="00BF6307">
        <w:rPr>
          <w:rFonts w:eastAsia="Arial Unicode MS"/>
        </w:rPr>
        <w:t>Käesolev eelnõu koosneb</w:t>
      </w:r>
      <w:r w:rsidR="003C264F">
        <w:rPr>
          <w:rFonts w:eastAsia="Arial Unicode MS"/>
        </w:rPr>
        <w:t xml:space="preserve"> koos alamtegevustega kuus</w:t>
      </w:r>
      <w:r w:rsidR="00BF6307">
        <w:rPr>
          <w:rFonts w:eastAsia="Arial Unicode MS"/>
        </w:rPr>
        <w:t>teistkümnest</w:t>
      </w:r>
      <w:r w:rsidR="00C24561">
        <w:rPr>
          <w:rFonts w:eastAsia="Arial Unicode MS"/>
        </w:rPr>
        <w:t xml:space="preserve"> </w:t>
      </w:r>
      <w:r w:rsidR="003C264F">
        <w:rPr>
          <w:rFonts w:eastAsia="Arial Unicode MS"/>
        </w:rPr>
        <w:t xml:space="preserve">erinevat tegevust ja </w:t>
      </w:r>
      <w:r w:rsidR="00BF6307">
        <w:rPr>
          <w:rFonts w:eastAsia="Arial Unicode MS"/>
        </w:rPr>
        <w:t>seitsmest</w:t>
      </w:r>
      <w:r w:rsidR="002B43C4">
        <w:rPr>
          <w:rFonts w:eastAsia="Arial Unicode MS"/>
        </w:rPr>
        <w:t xml:space="preserve"> erineva</w:t>
      </w:r>
      <w:r w:rsidR="00BF6307">
        <w:rPr>
          <w:rFonts w:eastAsia="Arial Unicode MS"/>
        </w:rPr>
        <w:t>st riigiabi liigist</w:t>
      </w:r>
      <w:r w:rsidR="002B43C4">
        <w:rPr>
          <w:rFonts w:eastAsia="Arial Unicode MS"/>
        </w:rPr>
        <w:t xml:space="preserve">. </w:t>
      </w:r>
      <w:r w:rsidR="00BF6307">
        <w:rPr>
          <w:rFonts w:eastAsia="Arial Unicode MS"/>
        </w:rPr>
        <w:t>Et lihtsustada e</w:t>
      </w:r>
      <w:r w:rsidR="002B43C4">
        <w:rPr>
          <w:rFonts w:eastAsia="Arial Unicode MS"/>
        </w:rPr>
        <w:t>ttevõtjate</w:t>
      </w:r>
      <w:r w:rsidR="00BF6307">
        <w:rPr>
          <w:rFonts w:eastAsia="Arial Unicode MS"/>
        </w:rPr>
        <w:t>le</w:t>
      </w:r>
      <w:r w:rsidR="002B43C4">
        <w:rPr>
          <w:rFonts w:eastAsia="Arial Unicode MS"/>
        </w:rPr>
        <w:t xml:space="preserve"> ja rakendusüksuse</w:t>
      </w:r>
      <w:r w:rsidR="00BF6307">
        <w:rPr>
          <w:rFonts w:eastAsia="Arial Unicode MS"/>
        </w:rPr>
        <w:t>le</w:t>
      </w:r>
      <w:r w:rsidR="002B43C4">
        <w:rPr>
          <w:rFonts w:eastAsia="Arial Unicode MS"/>
        </w:rPr>
        <w:t xml:space="preserve"> toetuse taotlemise, elluviimi</w:t>
      </w:r>
      <w:r w:rsidR="00BF6307">
        <w:rPr>
          <w:rFonts w:eastAsia="Arial Unicode MS"/>
        </w:rPr>
        <w:t>se ja aruandluse seotud tegevusi ja vähendada bürokraatiat,</w:t>
      </w:r>
      <w:r w:rsidR="002B43C4">
        <w:rPr>
          <w:rFonts w:eastAsia="Arial Unicode MS"/>
        </w:rPr>
        <w:t xml:space="preserve"> on eelnõus toetusmääraks kehtestatud kõrgeim võimalik määr kõikide riigiabi liikide lõikes.</w:t>
      </w:r>
      <w:r w:rsidR="00BF6307">
        <w:rPr>
          <w:rFonts w:eastAsia="Arial Unicode MS"/>
        </w:rPr>
        <w:t xml:space="preserve"> Sellest tulenevalt sõltub toetusmäär üksnes ettevõtja suurusest.</w:t>
      </w:r>
    </w:p>
    <w:p w14:paraId="17BAF0F8" w14:textId="77777777" w:rsidR="002B43C4" w:rsidRDefault="002B43C4" w:rsidP="004346E8">
      <w:pPr>
        <w:jc w:val="both"/>
        <w:rPr>
          <w:rFonts w:eastAsia="Arial Unicode MS"/>
        </w:rPr>
      </w:pPr>
    </w:p>
    <w:p w14:paraId="79BB0F11" w14:textId="110519D8" w:rsidR="002B43C4" w:rsidRDefault="00812DF6" w:rsidP="004346E8">
      <w:pPr>
        <w:jc w:val="both"/>
        <w:rPr>
          <w:rFonts w:eastAsia="Arial Unicode MS"/>
        </w:rPr>
      </w:pPr>
      <w:r>
        <w:rPr>
          <w:rFonts w:eastAsia="Arial Unicode MS"/>
        </w:rPr>
        <w:t>Käesoleva eelnõu</w:t>
      </w:r>
      <w:r w:rsidR="002B43C4">
        <w:rPr>
          <w:rFonts w:eastAsia="Arial Unicode MS"/>
        </w:rPr>
        <w:t xml:space="preserve"> toetusmäär</w:t>
      </w:r>
      <w:r>
        <w:rPr>
          <w:rFonts w:eastAsia="Arial Unicode MS"/>
        </w:rPr>
        <w:t xml:space="preserve"> on</w:t>
      </w:r>
      <w:r w:rsidR="002B43C4">
        <w:rPr>
          <w:rFonts w:eastAsia="Arial Unicode MS"/>
        </w:rPr>
        <w:t>:</w:t>
      </w:r>
    </w:p>
    <w:p w14:paraId="183DE921" w14:textId="77777777" w:rsidR="002B43C4" w:rsidRDefault="002B43C4" w:rsidP="004346E8">
      <w:pPr>
        <w:pStyle w:val="ListParagraph"/>
        <w:numPr>
          <w:ilvl w:val="0"/>
          <w:numId w:val="40"/>
        </w:numPr>
        <w:spacing w:line="240" w:lineRule="auto"/>
        <w:jc w:val="both"/>
        <w:rPr>
          <w:rFonts w:ascii="Times New Roman" w:eastAsia="Arial Unicode MS" w:hAnsi="Times New Roman"/>
          <w:sz w:val="24"/>
          <w:szCs w:val="24"/>
        </w:rPr>
      </w:pPr>
      <w:r>
        <w:rPr>
          <w:rFonts w:ascii="Times New Roman" w:eastAsia="Arial Unicode MS" w:hAnsi="Times New Roman"/>
          <w:sz w:val="24"/>
          <w:szCs w:val="24"/>
        </w:rPr>
        <w:t>väikeettevõtjatel kuni 45% projekti abikõlblikest kuludest;</w:t>
      </w:r>
    </w:p>
    <w:p w14:paraId="1A254479" w14:textId="77777777" w:rsidR="002B43C4" w:rsidRPr="002B43C4" w:rsidRDefault="002B43C4" w:rsidP="004346E8">
      <w:pPr>
        <w:pStyle w:val="ListParagraph"/>
        <w:numPr>
          <w:ilvl w:val="0"/>
          <w:numId w:val="40"/>
        </w:numPr>
        <w:spacing w:line="240" w:lineRule="auto"/>
        <w:jc w:val="both"/>
        <w:rPr>
          <w:rFonts w:ascii="Times New Roman" w:eastAsia="Arial Unicode MS" w:hAnsi="Times New Roman"/>
          <w:sz w:val="24"/>
          <w:szCs w:val="24"/>
        </w:rPr>
      </w:pPr>
      <w:r>
        <w:rPr>
          <w:rFonts w:ascii="Times New Roman" w:eastAsia="Arial Unicode MS" w:hAnsi="Times New Roman"/>
          <w:sz w:val="24"/>
          <w:szCs w:val="24"/>
        </w:rPr>
        <w:t>keskmise suurusega ettevõtjatel kuni 35% projekti abikõlblikest kuludest.</w:t>
      </w:r>
    </w:p>
    <w:p w14:paraId="22C09340" w14:textId="0F03CA14" w:rsidR="00906647" w:rsidRPr="002E6552" w:rsidRDefault="00906647" w:rsidP="004346E8">
      <w:pPr>
        <w:jc w:val="both"/>
        <w:rPr>
          <w:rStyle w:val="Strong"/>
          <w:rFonts w:ascii="Calibri" w:hAnsi="Calibri"/>
          <w:b w:val="0"/>
          <w:bCs w:val="0"/>
          <w:sz w:val="22"/>
          <w:szCs w:val="22"/>
        </w:rPr>
      </w:pPr>
      <w:r w:rsidRPr="002E6552">
        <w:rPr>
          <w:rStyle w:val="Strong"/>
          <w:b w:val="0"/>
          <w:bCs w:val="0"/>
        </w:rPr>
        <w:t>Projekti elluviimisel tekkivad kulud, mida toetusest ei hüvitata, kannab toetuse saaja.  Projekti omafinantseering on toetuse saaja panus projekti  nii abikõlblike kui ka mitteabikõlblike kulude katteks. Samas määruse mõistes loetakse toetuse saaja projekti omafinantseeringuks toetuse saaja panust</w:t>
      </w:r>
      <w:r w:rsidR="00A74D43">
        <w:rPr>
          <w:rStyle w:val="Strong"/>
          <w:b w:val="0"/>
          <w:bCs w:val="0"/>
        </w:rPr>
        <w:t xml:space="preserve"> ainult </w:t>
      </w:r>
      <w:r w:rsidRPr="002E6552">
        <w:rPr>
          <w:rStyle w:val="Strong"/>
          <w:b w:val="0"/>
          <w:bCs w:val="0"/>
        </w:rPr>
        <w:t xml:space="preserve">projekti abikõlblike kulude katteks määras, mida toetusest ei hüvitata. </w:t>
      </w:r>
    </w:p>
    <w:p w14:paraId="50DDC80E" w14:textId="77777777" w:rsidR="00F10C57" w:rsidRPr="002E6552" w:rsidRDefault="00F10C57" w:rsidP="004346E8">
      <w:pPr>
        <w:widowControl w:val="0"/>
        <w:tabs>
          <w:tab w:val="center" w:pos="4938"/>
          <w:tab w:val="right" w:pos="9091"/>
        </w:tabs>
        <w:autoSpaceDE w:val="0"/>
        <w:jc w:val="both"/>
        <w:rPr>
          <w:rFonts w:eastAsia="Arial Unicode MS"/>
        </w:rPr>
      </w:pPr>
    </w:p>
    <w:p w14:paraId="675097B3" w14:textId="77777777" w:rsidR="00F10C57" w:rsidRPr="002E6552" w:rsidRDefault="00F10C57" w:rsidP="004346E8">
      <w:pPr>
        <w:pStyle w:val="Heading2"/>
        <w:rPr>
          <w:color w:val="auto"/>
        </w:rPr>
      </w:pPr>
      <w:r w:rsidRPr="002E6552">
        <w:rPr>
          <w:color w:val="auto"/>
        </w:rPr>
        <w:t>3. peatükk</w:t>
      </w:r>
    </w:p>
    <w:p w14:paraId="19D8AD55" w14:textId="77777777" w:rsidR="00F10C57" w:rsidRPr="002E6552" w:rsidRDefault="00F10C57" w:rsidP="004346E8">
      <w:pPr>
        <w:pStyle w:val="Heading2"/>
        <w:rPr>
          <w:color w:val="auto"/>
        </w:rPr>
      </w:pPr>
      <w:r w:rsidRPr="002E6552">
        <w:rPr>
          <w:color w:val="auto"/>
        </w:rPr>
        <w:t>Toetuse taotlemine ning nõu</w:t>
      </w:r>
      <w:r w:rsidR="00EE4C3C">
        <w:rPr>
          <w:color w:val="auto"/>
        </w:rPr>
        <w:t>ded tao</w:t>
      </w:r>
      <w:r w:rsidR="002B43C4">
        <w:rPr>
          <w:color w:val="auto"/>
        </w:rPr>
        <w:t xml:space="preserve">tlejale ja </w:t>
      </w:r>
      <w:r w:rsidRPr="002E6552">
        <w:rPr>
          <w:color w:val="auto"/>
        </w:rPr>
        <w:t>taotlusele.</w:t>
      </w:r>
    </w:p>
    <w:p w14:paraId="287E60A9" w14:textId="77777777" w:rsidR="00F10C57" w:rsidRPr="002E6552" w:rsidRDefault="00F10C57" w:rsidP="004346E8">
      <w:pPr>
        <w:jc w:val="both"/>
        <w:rPr>
          <w:rFonts w:eastAsia="Arial Unicode MS"/>
          <w:u w:val="single"/>
        </w:rPr>
      </w:pPr>
    </w:p>
    <w:p w14:paraId="134EF183" w14:textId="77777777" w:rsidR="00F10C57" w:rsidRPr="002E6552" w:rsidRDefault="00081FC9" w:rsidP="004346E8">
      <w:pPr>
        <w:jc w:val="both"/>
        <w:rPr>
          <w:rFonts w:eastAsia="Arial Unicode MS"/>
        </w:rPr>
      </w:pPr>
      <w:r w:rsidRPr="002E6552">
        <w:rPr>
          <w:rFonts w:eastAsia="Arial Unicode MS"/>
        </w:rPr>
        <w:t xml:space="preserve">Peatükis </w:t>
      </w:r>
      <w:r w:rsidR="00F10C57" w:rsidRPr="002E6552">
        <w:rPr>
          <w:rFonts w:eastAsia="Arial Unicode MS"/>
        </w:rPr>
        <w:t>kirjeldatakse kuidas toimub toetuse taotlemi</w:t>
      </w:r>
      <w:r w:rsidR="002B43C4">
        <w:rPr>
          <w:rFonts w:eastAsia="Arial Unicode MS"/>
        </w:rPr>
        <w:t>ne ja millistele nõuetele peab</w:t>
      </w:r>
      <w:r w:rsidR="00F10C57" w:rsidRPr="002E6552">
        <w:rPr>
          <w:rFonts w:eastAsia="Arial Unicode MS"/>
        </w:rPr>
        <w:t xml:space="preserve"> vastama taotleja. Samuti on käesol</w:t>
      </w:r>
      <w:r w:rsidR="00EF5E88">
        <w:rPr>
          <w:rFonts w:eastAsia="Arial Unicode MS"/>
        </w:rPr>
        <w:t xml:space="preserve">evas peatükis ära toodud nõuded </w:t>
      </w:r>
      <w:r w:rsidR="00F10C57" w:rsidRPr="002E6552">
        <w:rPr>
          <w:rFonts w:eastAsia="Arial Unicode MS"/>
        </w:rPr>
        <w:t>taotlusele</w:t>
      </w:r>
      <w:r w:rsidRPr="002E6552">
        <w:rPr>
          <w:rFonts w:eastAsia="Arial Unicode MS"/>
        </w:rPr>
        <w:t xml:space="preserve"> </w:t>
      </w:r>
      <w:r w:rsidR="00F10C57" w:rsidRPr="002E6552">
        <w:rPr>
          <w:rFonts w:eastAsia="Arial Unicode MS"/>
        </w:rPr>
        <w:t>ning taotleja kohustused</w:t>
      </w:r>
      <w:r w:rsidR="006A4270">
        <w:rPr>
          <w:rFonts w:eastAsia="Arial Unicode MS"/>
        </w:rPr>
        <w:t>.</w:t>
      </w:r>
    </w:p>
    <w:p w14:paraId="5693F851" w14:textId="77777777" w:rsidR="00F10C57" w:rsidRPr="002E6552" w:rsidRDefault="00F10C57" w:rsidP="004346E8">
      <w:pPr>
        <w:jc w:val="both"/>
        <w:rPr>
          <w:rFonts w:eastAsia="Arial Unicode MS"/>
        </w:rPr>
      </w:pPr>
    </w:p>
    <w:p w14:paraId="05AA3171" w14:textId="77777777" w:rsidR="00C752E2" w:rsidRPr="002E6552" w:rsidRDefault="00EF5E88" w:rsidP="004346E8">
      <w:pPr>
        <w:jc w:val="both"/>
        <w:rPr>
          <w:rFonts w:eastAsia="Arial Unicode MS"/>
        </w:rPr>
      </w:pPr>
      <w:r>
        <w:rPr>
          <w:rFonts w:eastAsia="Arial Unicode MS"/>
          <w:u w:val="single"/>
        </w:rPr>
        <w:t>Eelnõu § 11</w:t>
      </w:r>
      <w:r w:rsidR="00C752E2" w:rsidRPr="002E6552">
        <w:rPr>
          <w:rFonts w:eastAsia="Arial Unicode MS"/>
        </w:rPr>
        <w:t xml:space="preserve"> toob välja toetuse taotlemise tingimused.</w:t>
      </w:r>
    </w:p>
    <w:p w14:paraId="6D3772BF" w14:textId="77777777" w:rsidR="00C752E2" w:rsidRPr="002E6552" w:rsidRDefault="00C752E2" w:rsidP="004346E8">
      <w:pPr>
        <w:jc w:val="both"/>
        <w:rPr>
          <w:rFonts w:eastAsia="Arial Unicode MS"/>
        </w:rPr>
      </w:pPr>
    </w:p>
    <w:p w14:paraId="0339FA28" w14:textId="77777777" w:rsidR="00C752E2" w:rsidRDefault="00110280" w:rsidP="004346E8">
      <w:pPr>
        <w:jc w:val="both"/>
        <w:rPr>
          <w:rFonts w:eastAsia="Arial Unicode MS"/>
        </w:rPr>
      </w:pPr>
      <w:r>
        <w:rPr>
          <w:rFonts w:eastAsia="Arial Unicode MS"/>
        </w:rPr>
        <w:t>Toetuse taotlemine toimub</w:t>
      </w:r>
      <w:r w:rsidR="002F51DA">
        <w:rPr>
          <w:rFonts w:eastAsia="Arial Unicode MS"/>
        </w:rPr>
        <w:t xml:space="preserve"> </w:t>
      </w:r>
      <w:r w:rsidR="00EF5E88">
        <w:rPr>
          <w:rFonts w:eastAsia="Arial Unicode MS"/>
        </w:rPr>
        <w:t xml:space="preserve">jooksvalt </w:t>
      </w:r>
      <w:r w:rsidR="002F51DA">
        <w:rPr>
          <w:rFonts w:eastAsia="Arial Unicode MS"/>
        </w:rPr>
        <w:t>avatud taotlemisena</w:t>
      </w:r>
      <w:r w:rsidR="00EF5E88">
        <w:rPr>
          <w:rFonts w:eastAsia="Arial Unicode MS"/>
        </w:rPr>
        <w:t>.</w:t>
      </w:r>
    </w:p>
    <w:p w14:paraId="623E923E" w14:textId="77777777" w:rsidR="00EF5E88" w:rsidRDefault="00EF5E88" w:rsidP="004346E8">
      <w:pPr>
        <w:jc w:val="both"/>
        <w:rPr>
          <w:rFonts w:eastAsia="Arial Unicode MS"/>
        </w:rPr>
      </w:pPr>
    </w:p>
    <w:p w14:paraId="157D39D5" w14:textId="77777777" w:rsidR="00C752E2" w:rsidRDefault="00C752E2" w:rsidP="004346E8">
      <w:pPr>
        <w:jc w:val="both"/>
        <w:rPr>
          <w:rFonts w:eastAsia="Arial Unicode MS"/>
        </w:rPr>
      </w:pPr>
      <w:r w:rsidRPr="002E6552">
        <w:rPr>
          <w:rFonts w:eastAsia="Arial Unicode MS"/>
        </w:rPr>
        <w:t xml:space="preserve">Taotlemine </w:t>
      </w:r>
      <w:r w:rsidR="002B6CDD" w:rsidRPr="002E6552">
        <w:rPr>
          <w:rFonts w:eastAsia="Arial Unicode MS"/>
        </w:rPr>
        <w:t>toimub</w:t>
      </w:r>
      <w:r w:rsidRPr="002E6552">
        <w:rPr>
          <w:rFonts w:eastAsia="Arial Unicode MS"/>
        </w:rPr>
        <w:t xml:space="preserve"> ra</w:t>
      </w:r>
      <w:r w:rsidR="002B6CDD" w:rsidRPr="002E6552">
        <w:rPr>
          <w:rFonts w:eastAsia="Arial Unicode MS"/>
        </w:rPr>
        <w:t xml:space="preserve">kendusüksuse e-teeninduse kaudu. </w:t>
      </w:r>
      <w:r w:rsidR="00EF5E88">
        <w:rPr>
          <w:rFonts w:eastAsia="Arial Unicode MS"/>
        </w:rPr>
        <w:t>T</w:t>
      </w:r>
      <w:r w:rsidR="001772A9" w:rsidRPr="002E6552">
        <w:rPr>
          <w:rFonts w:eastAsia="Arial Unicode MS"/>
        </w:rPr>
        <w:t>aotlus</w:t>
      </w:r>
      <w:r w:rsidR="00F8033F" w:rsidRPr="002E6552">
        <w:rPr>
          <w:rFonts w:eastAsia="Arial Unicode MS"/>
        </w:rPr>
        <w:t xml:space="preserve"> </w:t>
      </w:r>
      <w:r w:rsidR="00F2413C" w:rsidRPr="002E6552">
        <w:rPr>
          <w:rFonts w:eastAsia="Arial Unicode MS"/>
        </w:rPr>
        <w:t xml:space="preserve">esitatakse </w:t>
      </w:r>
      <w:r w:rsidR="00675BA9">
        <w:rPr>
          <w:rFonts w:eastAsia="Arial Unicode MS"/>
        </w:rPr>
        <w:t>äriühingu</w:t>
      </w:r>
      <w:r w:rsidRPr="002E6552">
        <w:rPr>
          <w:rFonts w:eastAsia="Arial Unicode MS"/>
        </w:rPr>
        <w:t xml:space="preserve"> esindusõigusliku isiku poolt digitaalselt allkirjastatuna.</w:t>
      </w:r>
    </w:p>
    <w:p w14:paraId="00205AAD" w14:textId="47B5A7E0" w:rsidR="0017531B" w:rsidRDefault="00A52BA3" w:rsidP="004346E8">
      <w:pPr>
        <w:jc w:val="both"/>
        <w:rPr>
          <w:rFonts w:eastAsia="Arial Unicode MS"/>
        </w:rPr>
      </w:pPr>
      <w:r>
        <w:rPr>
          <w:rFonts w:eastAsia="Arial Unicode MS"/>
        </w:rPr>
        <w:t>Eespool toodud sel</w:t>
      </w:r>
      <w:r w:rsidR="0017531B">
        <w:rPr>
          <w:rFonts w:eastAsia="Arial Unicode MS"/>
        </w:rPr>
        <w:t>g</w:t>
      </w:r>
      <w:r>
        <w:rPr>
          <w:rFonts w:eastAsia="Arial Unicode MS"/>
        </w:rPr>
        <w:t>ituste alusel on ettevõtja arenguplaan ettevõtja po</w:t>
      </w:r>
      <w:r w:rsidR="0017531B">
        <w:rPr>
          <w:rFonts w:eastAsia="Arial Unicode MS"/>
        </w:rPr>
        <w:t>o</w:t>
      </w:r>
      <w:r>
        <w:rPr>
          <w:rFonts w:eastAsia="Arial Unicode MS"/>
        </w:rPr>
        <w:t xml:space="preserve">lt koostatud </w:t>
      </w:r>
      <w:r w:rsidR="0017531B">
        <w:rPr>
          <w:rFonts w:eastAsia="Arial Unicode MS"/>
        </w:rPr>
        <w:t xml:space="preserve">ettevõtte arengut puudutav </w:t>
      </w:r>
      <w:r w:rsidR="00812DF6">
        <w:rPr>
          <w:rFonts w:eastAsia="Arial Unicode MS"/>
        </w:rPr>
        <w:t xml:space="preserve">strateegiline </w:t>
      </w:r>
      <w:r w:rsidR="0017531B">
        <w:rPr>
          <w:rFonts w:eastAsia="Arial Unicode MS"/>
        </w:rPr>
        <w:t>tegevuskava. Rakendusüksus, kes suunab ja aitab ettevõtjat ar</w:t>
      </w:r>
      <w:r w:rsidR="00605BE6">
        <w:rPr>
          <w:rFonts w:eastAsia="Arial Unicode MS"/>
        </w:rPr>
        <w:t xml:space="preserve">enguplaani koostamisel ja kiidab </w:t>
      </w:r>
      <w:r w:rsidR="0017531B">
        <w:rPr>
          <w:rFonts w:eastAsia="Arial Unicode MS"/>
        </w:rPr>
        <w:t>arenguplaani</w:t>
      </w:r>
      <w:r w:rsidR="00605BE6">
        <w:rPr>
          <w:rFonts w:eastAsia="Arial Unicode MS"/>
        </w:rPr>
        <w:t xml:space="preserve"> heaks</w:t>
      </w:r>
      <w:r w:rsidR="0017531B">
        <w:rPr>
          <w:rFonts w:eastAsia="Arial Unicode MS"/>
        </w:rPr>
        <w:t xml:space="preserve">. Arenguplaani koostamisele eelneb </w:t>
      </w:r>
      <w:r w:rsidR="00812DF6">
        <w:rPr>
          <w:rFonts w:eastAsia="Arial Unicode MS"/>
        </w:rPr>
        <w:t>rakendusüksuse poolt läbiviidav</w:t>
      </w:r>
      <w:r w:rsidR="0017531B">
        <w:rPr>
          <w:rFonts w:eastAsia="Arial Unicode MS"/>
        </w:rPr>
        <w:t xml:space="preserve"> ettevõtja </w:t>
      </w:r>
      <w:r w:rsidR="00574721">
        <w:rPr>
          <w:rFonts w:eastAsia="Arial Unicode MS"/>
        </w:rPr>
        <w:t xml:space="preserve">hetkeolukorra kaardistus ning </w:t>
      </w:r>
      <w:r w:rsidR="00574721" w:rsidRPr="00574721">
        <w:rPr>
          <w:rFonts w:eastAsia="Arial Unicode MS"/>
        </w:rPr>
        <w:t>vajadusel teised arenguplaani koostamist ettevalmistavad ja toetavad tegevused, näiteks valdkondlik diagnostika, rakendusüksuse poolt pakutavad teenused ning koolitused.</w:t>
      </w:r>
      <w:r w:rsidR="00812DF6">
        <w:rPr>
          <w:rFonts w:eastAsia="Arial Unicode MS"/>
        </w:rPr>
        <w:t xml:space="preserve"> </w:t>
      </w:r>
    </w:p>
    <w:p w14:paraId="74435E75" w14:textId="77777777" w:rsidR="0017531B" w:rsidRDefault="0017531B" w:rsidP="004346E8">
      <w:pPr>
        <w:jc w:val="both"/>
        <w:rPr>
          <w:rFonts w:eastAsia="Arial Unicode MS"/>
        </w:rPr>
      </w:pPr>
    </w:p>
    <w:p w14:paraId="42E6DE95" w14:textId="7193C2E5" w:rsidR="005B294A" w:rsidRDefault="00574721" w:rsidP="004346E8">
      <w:pPr>
        <w:jc w:val="both"/>
        <w:rPr>
          <w:rFonts w:eastAsia="Arial Unicode MS"/>
        </w:rPr>
      </w:pPr>
      <w:r>
        <w:rPr>
          <w:rFonts w:eastAsia="Arial Unicode MS"/>
        </w:rPr>
        <w:t>Arenguplaan,  mille kestvus on tavapäraselt 3</w:t>
      </w:r>
      <w:r w:rsidR="008C7B87">
        <w:rPr>
          <w:rFonts w:eastAsia="Arial Unicode MS"/>
        </w:rPr>
        <w:t>−</w:t>
      </w:r>
      <w:r>
        <w:rPr>
          <w:rFonts w:eastAsia="Arial Unicode MS"/>
        </w:rPr>
        <w:t>5 aastat ja mis sisaldab erinevaid ning sama</w:t>
      </w:r>
      <w:r w:rsidR="00812DF6">
        <w:rPr>
          <w:rFonts w:eastAsia="Arial Unicode MS"/>
        </w:rPr>
        <w:t>s üksteist mõjutavaid tegevusi,</w:t>
      </w:r>
      <w:r w:rsidR="004964B6">
        <w:rPr>
          <w:rFonts w:eastAsia="Arial Unicode MS"/>
        </w:rPr>
        <w:t xml:space="preserve"> viiakse ellu etapi</w:t>
      </w:r>
      <w:r w:rsidR="00812DF6">
        <w:rPr>
          <w:rFonts w:eastAsia="Arial Unicode MS"/>
        </w:rPr>
        <w:t>viisi</w:t>
      </w:r>
      <w:r w:rsidR="004964B6">
        <w:rPr>
          <w:rFonts w:eastAsia="Arial Unicode MS"/>
        </w:rPr>
        <w:t>liselt. Juhul kui mõni arenguplaani tegevus mu</w:t>
      </w:r>
      <w:r w:rsidR="00812DF6">
        <w:rPr>
          <w:rFonts w:eastAsia="Arial Unicode MS"/>
        </w:rPr>
        <w:t xml:space="preserve">utub või tegevuse tulemuse ei vasta </w:t>
      </w:r>
      <w:r w:rsidR="004964B6">
        <w:rPr>
          <w:rFonts w:eastAsia="Arial Unicode MS"/>
        </w:rPr>
        <w:t xml:space="preserve">algselt planeeritule, võimaldab etapiviisiline  elluviimine </w:t>
      </w:r>
      <w:r w:rsidR="001D58C8">
        <w:rPr>
          <w:rFonts w:eastAsia="Arial Unicode MS"/>
        </w:rPr>
        <w:t>paindlikkust</w:t>
      </w:r>
      <w:r w:rsidR="004117BB">
        <w:rPr>
          <w:rFonts w:eastAsia="Arial Unicode MS"/>
        </w:rPr>
        <w:t>. Võimalust</w:t>
      </w:r>
      <w:r w:rsidR="004964B6">
        <w:rPr>
          <w:rFonts w:eastAsia="Arial Unicode MS"/>
        </w:rPr>
        <w:t xml:space="preserve"> teha vajadusel muutusi. </w:t>
      </w:r>
      <w:r w:rsidR="000624D1">
        <w:rPr>
          <w:rFonts w:eastAsia="Arial Unicode MS"/>
        </w:rPr>
        <w:t>E</w:t>
      </w:r>
      <w:r w:rsidR="004964B6">
        <w:rPr>
          <w:rFonts w:eastAsia="Arial Unicode MS"/>
        </w:rPr>
        <w:t>elnõu kaudu rahastatav proje</w:t>
      </w:r>
      <w:r w:rsidR="00A74D43">
        <w:rPr>
          <w:rFonts w:eastAsia="Arial Unicode MS"/>
        </w:rPr>
        <w:t>k</w:t>
      </w:r>
      <w:r w:rsidR="004964B6">
        <w:rPr>
          <w:rFonts w:eastAsia="Arial Unicode MS"/>
        </w:rPr>
        <w:t>t on osa ettevõtja arenguplaanist, mille kaudu rahasta</w:t>
      </w:r>
      <w:r w:rsidR="00A74D43">
        <w:rPr>
          <w:rFonts w:eastAsia="Arial Unicode MS"/>
        </w:rPr>
        <w:t>t</w:t>
      </w:r>
      <w:r w:rsidR="004964B6">
        <w:rPr>
          <w:rFonts w:eastAsia="Arial Unicode MS"/>
        </w:rPr>
        <w:t>a</w:t>
      </w:r>
      <w:r w:rsidR="00A74D43">
        <w:rPr>
          <w:rFonts w:eastAsia="Arial Unicode MS"/>
        </w:rPr>
        <w:t>k</w:t>
      </w:r>
      <w:r w:rsidR="004964B6">
        <w:rPr>
          <w:rFonts w:eastAsia="Arial Unicode MS"/>
        </w:rPr>
        <w:t>se arenguplaani kindla etapi elluviimist.</w:t>
      </w:r>
      <w:r w:rsidR="00605BE6">
        <w:rPr>
          <w:rFonts w:eastAsia="Arial Unicode MS"/>
        </w:rPr>
        <w:t xml:space="preserve"> Teisisõnu on projekt </w:t>
      </w:r>
      <w:r w:rsidR="005B294A" w:rsidRPr="005B294A">
        <w:rPr>
          <w:rFonts w:eastAsia="Arial Unicode MS"/>
        </w:rPr>
        <w:t>arenguplaani etapi osa, millega kaasnevate kulude hüvitamiseks toetust taotletakse või kasutatakse</w:t>
      </w:r>
      <w:r w:rsidR="005B294A">
        <w:rPr>
          <w:rFonts w:eastAsia="Arial Unicode MS"/>
        </w:rPr>
        <w:t xml:space="preserve">. Sellest tulenevalt ei ole projektide arv ära määratud, vaid lähtub iga ettevõtja individuaalsest arenguplaanist. </w:t>
      </w:r>
    </w:p>
    <w:p w14:paraId="4BCBB784" w14:textId="77777777" w:rsidR="005B294A" w:rsidRDefault="005B294A" w:rsidP="004346E8">
      <w:pPr>
        <w:jc w:val="both"/>
        <w:rPr>
          <w:rFonts w:eastAsia="Arial Unicode MS"/>
        </w:rPr>
      </w:pPr>
    </w:p>
    <w:p w14:paraId="0DF80234" w14:textId="1195BCD8" w:rsidR="005B294A" w:rsidRDefault="005B294A" w:rsidP="004346E8">
      <w:pPr>
        <w:jc w:val="both"/>
        <w:rPr>
          <w:rFonts w:eastAsia="Arial Unicode MS"/>
        </w:rPr>
      </w:pPr>
      <w:r>
        <w:rPr>
          <w:rFonts w:eastAsia="Arial Unicode MS"/>
        </w:rPr>
        <w:t xml:space="preserve">Arenguplaani tegevuste elluviimise rahastamiseks kasutab ettevõtja liskas käesolevale meetmele ka teisi riiklike ja eraturu instrumente, omavahendeid, jne. </w:t>
      </w:r>
      <w:r w:rsidR="004964B6">
        <w:rPr>
          <w:rFonts w:eastAsia="Arial Unicode MS"/>
        </w:rPr>
        <w:t xml:space="preserve">Jagades arenguplaani osadeks – etappideks, on </w:t>
      </w:r>
      <w:r w:rsidR="004117BB">
        <w:rPr>
          <w:rFonts w:eastAsia="Arial Unicode MS"/>
        </w:rPr>
        <w:t xml:space="preserve">ühelt poolt </w:t>
      </w:r>
      <w:r w:rsidR="004964B6">
        <w:rPr>
          <w:rFonts w:eastAsia="Arial Unicode MS"/>
        </w:rPr>
        <w:t>lihtsam hinnata tegevuste edukust ja teisalt ka lihtsam tegevusi ümber</w:t>
      </w:r>
      <w:r w:rsidR="00812DF6">
        <w:rPr>
          <w:rFonts w:eastAsia="Arial Unicode MS"/>
        </w:rPr>
        <w:t xml:space="preserve"> </w:t>
      </w:r>
      <w:r w:rsidR="004964B6">
        <w:rPr>
          <w:rFonts w:eastAsia="Arial Unicode MS"/>
        </w:rPr>
        <w:t xml:space="preserve">planeerida. </w:t>
      </w:r>
      <w:r w:rsidR="004117BB">
        <w:rPr>
          <w:rFonts w:eastAsia="Arial Unicode MS"/>
        </w:rPr>
        <w:t>Näiteks viiakse</w:t>
      </w:r>
      <w:r w:rsidR="00B375DE">
        <w:rPr>
          <w:rFonts w:eastAsia="Arial Unicode MS"/>
        </w:rPr>
        <w:t xml:space="preserve"> arenguplaani esimesed etapid ellu ilma antud määruse toeta ja s</w:t>
      </w:r>
      <w:r w:rsidR="004117BB">
        <w:rPr>
          <w:rFonts w:eastAsia="Arial Unicode MS"/>
        </w:rPr>
        <w:t>aavutatakse</w:t>
      </w:r>
      <w:r w:rsidR="00B375DE">
        <w:rPr>
          <w:rFonts w:eastAsia="Arial Unicode MS"/>
        </w:rPr>
        <w:t xml:space="preserve"> esialgselt planeeritust paremad tulemused (nt. uue toote omadused võimaldavad toodet kasutada </w:t>
      </w:r>
      <w:r w:rsidR="004117BB">
        <w:rPr>
          <w:rFonts w:eastAsia="Arial Unicode MS"/>
        </w:rPr>
        <w:t xml:space="preserve">lisaks </w:t>
      </w:r>
      <w:r w:rsidR="00B375DE">
        <w:rPr>
          <w:rFonts w:eastAsia="Arial Unicode MS"/>
        </w:rPr>
        <w:t>algselt mitteplaneeritud tingimustes)</w:t>
      </w:r>
      <w:r w:rsidR="004117BB">
        <w:rPr>
          <w:rFonts w:eastAsia="Arial Unicode MS"/>
        </w:rPr>
        <w:t>. Sellest tulenevalt võib ettevõtja</w:t>
      </w:r>
      <w:r w:rsidR="00B375DE">
        <w:rPr>
          <w:rFonts w:eastAsia="Arial Unicode MS"/>
        </w:rPr>
        <w:t xml:space="preserve"> </w:t>
      </w:r>
      <w:r w:rsidR="004117BB">
        <w:rPr>
          <w:rFonts w:eastAsia="Arial Unicode MS"/>
        </w:rPr>
        <w:t xml:space="preserve">vajada </w:t>
      </w:r>
      <w:r w:rsidR="00B375DE">
        <w:rPr>
          <w:rFonts w:eastAsia="Arial Unicode MS"/>
        </w:rPr>
        <w:t xml:space="preserve">toetust ka teistlaadi </w:t>
      </w:r>
      <w:r w:rsidR="004117BB">
        <w:rPr>
          <w:rFonts w:eastAsia="Arial Unicode MS"/>
        </w:rPr>
        <w:t>või lisa</w:t>
      </w:r>
      <w:r w:rsidR="00B375DE">
        <w:rPr>
          <w:rFonts w:eastAsia="Arial Unicode MS"/>
        </w:rPr>
        <w:t xml:space="preserve">tegevusteks või </w:t>
      </w:r>
      <w:r w:rsidR="004117BB">
        <w:rPr>
          <w:rFonts w:eastAsia="Arial Unicode MS"/>
        </w:rPr>
        <w:t>näiteks esialgselt planeeritust</w:t>
      </w:r>
      <w:r w:rsidR="00B375DE">
        <w:rPr>
          <w:rFonts w:eastAsia="Arial Unicode MS"/>
        </w:rPr>
        <w:t xml:space="preserve"> suuremat toetussummat. Juhul kui </w:t>
      </w:r>
      <w:r w:rsidR="00262CF5">
        <w:rPr>
          <w:rFonts w:eastAsia="Arial Unicode MS"/>
        </w:rPr>
        <w:t xml:space="preserve">arenguplaani heakskiitmisel </w:t>
      </w:r>
      <w:r w:rsidR="004117BB">
        <w:rPr>
          <w:rFonts w:eastAsia="Arial Unicode MS"/>
        </w:rPr>
        <w:t xml:space="preserve">oleks </w:t>
      </w:r>
      <w:r w:rsidR="00262CF5">
        <w:rPr>
          <w:rFonts w:eastAsia="Arial Unicode MS"/>
        </w:rPr>
        <w:t>tehtud ettevõtjale positiivne rahastusotsus</w:t>
      </w:r>
      <w:r w:rsidR="004117BB">
        <w:rPr>
          <w:rFonts w:eastAsia="Arial Unicode MS"/>
        </w:rPr>
        <w:t xml:space="preserve"> kogu arenguplaani toetatavate tegevuste kohta, tuleks</w:t>
      </w:r>
      <w:r w:rsidR="00262CF5">
        <w:rPr>
          <w:rFonts w:eastAsia="Arial Unicode MS"/>
        </w:rPr>
        <w:t xml:space="preserve"> ettevõtja</w:t>
      </w:r>
      <w:r w:rsidR="004117BB">
        <w:rPr>
          <w:rFonts w:eastAsia="Arial Unicode MS"/>
        </w:rPr>
        <w:t xml:space="preserve">l taotleda rahastamisotsuse </w:t>
      </w:r>
      <w:r w:rsidR="00262CF5">
        <w:rPr>
          <w:rFonts w:eastAsia="Arial Unicode MS"/>
        </w:rPr>
        <w:t>muutmist haldusmenetleuse poolt sätestatud korras.</w:t>
      </w:r>
    </w:p>
    <w:p w14:paraId="0AD906CF" w14:textId="77777777" w:rsidR="005B294A" w:rsidRDefault="005B294A" w:rsidP="004346E8">
      <w:pPr>
        <w:jc w:val="both"/>
        <w:rPr>
          <w:rFonts w:eastAsia="Arial Unicode MS"/>
        </w:rPr>
      </w:pPr>
    </w:p>
    <w:p w14:paraId="578BB6E0" w14:textId="7AC7FAED" w:rsidR="00A52BA3" w:rsidRDefault="00262CF5" w:rsidP="004346E8">
      <w:pPr>
        <w:jc w:val="both"/>
        <w:rPr>
          <w:rFonts w:eastAsia="Arial Unicode MS"/>
        </w:rPr>
      </w:pPr>
      <w:r>
        <w:rPr>
          <w:rFonts w:eastAsia="Arial Unicode MS"/>
        </w:rPr>
        <w:t>U</w:t>
      </w:r>
      <w:r w:rsidR="00A654C2">
        <w:rPr>
          <w:rFonts w:eastAsia="Arial Unicode MS"/>
        </w:rPr>
        <w:t xml:space="preserve">ue projekti alustamise eelduseks eelneva </w:t>
      </w:r>
      <w:r w:rsidR="004964B6" w:rsidRPr="004964B6">
        <w:rPr>
          <w:rFonts w:eastAsia="Arial Unicode MS"/>
        </w:rPr>
        <w:t>projekti edukas elluviimine</w:t>
      </w:r>
      <w:r w:rsidR="00812DF6">
        <w:rPr>
          <w:rFonts w:eastAsia="Arial Unicode MS"/>
        </w:rPr>
        <w:t xml:space="preserve"> </w:t>
      </w:r>
      <w:r>
        <w:rPr>
          <w:rFonts w:eastAsia="Arial Unicode MS"/>
        </w:rPr>
        <w:t>ja heakskiitmine rakendusüksuse poolt</w:t>
      </w:r>
      <w:r w:rsidR="00A654C2">
        <w:rPr>
          <w:rFonts w:eastAsia="Arial Unicode MS"/>
        </w:rPr>
        <w:t>.</w:t>
      </w:r>
      <w:r w:rsidR="004964B6" w:rsidRPr="004964B6">
        <w:rPr>
          <w:rFonts w:eastAsia="Arial Unicode MS"/>
        </w:rPr>
        <w:t xml:space="preserve"> </w:t>
      </w:r>
      <w:r>
        <w:rPr>
          <w:rFonts w:eastAsia="Arial Unicode MS"/>
        </w:rPr>
        <w:t>J</w:t>
      </w:r>
      <w:r w:rsidR="004964B6" w:rsidRPr="004964B6">
        <w:rPr>
          <w:rFonts w:eastAsia="Arial Unicode MS"/>
        </w:rPr>
        <w:t>uhul kui vastav vajadus tule</w:t>
      </w:r>
      <w:r w:rsidR="00A654C2">
        <w:rPr>
          <w:rFonts w:eastAsia="Arial Unicode MS"/>
        </w:rPr>
        <w:t>neb arenguplaanist</w:t>
      </w:r>
      <w:r w:rsidR="00A74D43">
        <w:rPr>
          <w:rFonts w:eastAsia="Arial Unicode MS"/>
        </w:rPr>
        <w:t>,</w:t>
      </w:r>
      <w:r w:rsidR="00A654C2">
        <w:rPr>
          <w:rFonts w:eastAsia="Arial Unicode MS"/>
        </w:rPr>
        <w:t xml:space="preserve"> võib ettevõtja</w:t>
      </w:r>
      <w:r w:rsidR="004964B6" w:rsidRPr="004964B6">
        <w:rPr>
          <w:rFonts w:eastAsia="Arial Unicode MS"/>
        </w:rPr>
        <w:t xml:space="preserve"> esitada uue projekti taotluse enne eelneva projekti lõpetamist.</w:t>
      </w:r>
      <w:r>
        <w:rPr>
          <w:rFonts w:eastAsia="Arial Unicode MS"/>
        </w:rPr>
        <w:t xml:space="preserve"> Vahetult peale projekti lõpemist külastab EASi kliendihaldur ettevõtjat. Koos vaadatakse üle ja arutatakse läbi projekti elluviimisega seotud küsimused, näiteks, kas kõik planeeritud tegevused viidi ellu, kas saavutati oodatu</w:t>
      </w:r>
      <w:r w:rsidR="007A463C">
        <w:rPr>
          <w:rFonts w:eastAsia="Arial Unicode MS"/>
        </w:rPr>
        <w:t>d tulemused</w:t>
      </w:r>
      <w:r>
        <w:rPr>
          <w:rFonts w:eastAsia="Arial Unicode MS"/>
        </w:rPr>
        <w:t xml:space="preserve">, kas projekti elluviimise jooksul ilmnes uusi asjaolusid või teadmist, mis mõjutasid </w:t>
      </w:r>
      <w:r w:rsidR="004117BB">
        <w:rPr>
          <w:rFonts w:eastAsia="Arial Unicode MS"/>
        </w:rPr>
        <w:t xml:space="preserve">või mõjutavad </w:t>
      </w:r>
      <w:r>
        <w:rPr>
          <w:rFonts w:eastAsia="Arial Unicode MS"/>
        </w:rPr>
        <w:t>projekti või kogu arenguplaan</w:t>
      </w:r>
      <w:r w:rsidR="008B671E">
        <w:rPr>
          <w:rFonts w:eastAsia="Arial Unicode MS"/>
        </w:rPr>
        <w:t>i elluviimist</w:t>
      </w:r>
      <w:r w:rsidR="007A463C">
        <w:rPr>
          <w:rFonts w:eastAsia="Arial Unicode MS"/>
        </w:rPr>
        <w:t xml:space="preserve"> ning</w:t>
      </w:r>
      <w:r>
        <w:rPr>
          <w:rFonts w:eastAsia="Arial Unicode MS"/>
        </w:rPr>
        <w:t xml:space="preserve"> antakse sisuline hinnang projekti õ</w:t>
      </w:r>
      <w:r w:rsidR="009A5412">
        <w:rPr>
          <w:rFonts w:eastAsia="Arial Unicode MS"/>
        </w:rPr>
        <w:t>nnestumisele. Ettevõtja</w:t>
      </w:r>
      <w:r>
        <w:rPr>
          <w:rFonts w:eastAsia="Arial Unicode MS"/>
        </w:rPr>
        <w:t xml:space="preserve"> koostab </w:t>
      </w:r>
      <w:r w:rsidR="009A5412">
        <w:rPr>
          <w:rFonts w:eastAsia="Arial Unicode MS"/>
        </w:rPr>
        <w:t xml:space="preserve">enne kohtumist </w:t>
      </w:r>
      <w:r>
        <w:rPr>
          <w:rFonts w:eastAsia="Arial Unicode MS"/>
        </w:rPr>
        <w:t xml:space="preserve">projekti </w:t>
      </w:r>
      <w:r w:rsidR="008B671E">
        <w:rPr>
          <w:rFonts w:eastAsia="Arial Unicode MS"/>
        </w:rPr>
        <w:t>lõpprapordi, mille allkirjastavad nii ettevõtja kui ka EASi kliendihaldur. Lõpprapordi allkirjastamisega loetakse projekti tulemused rakendusüksuse poolt</w:t>
      </w:r>
      <w:r w:rsidR="007A112C">
        <w:rPr>
          <w:rFonts w:eastAsia="Arial Unicode MS"/>
        </w:rPr>
        <w:t xml:space="preserve"> heaks</w:t>
      </w:r>
      <w:r w:rsidR="008B671E">
        <w:rPr>
          <w:rFonts w:eastAsia="Arial Unicode MS"/>
        </w:rPr>
        <w:t>kiidetuks. Juhul kui eelneva projekti tulemused lubavad arenguplaani</w:t>
      </w:r>
      <w:r w:rsidR="007A463C">
        <w:rPr>
          <w:rFonts w:eastAsia="Arial Unicode MS"/>
        </w:rPr>
        <w:t xml:space="preserve"> </w:t>
      </w:r>
      <w:r w:rsidR="008B671E">
        <w:rPr>
          <w:rFonts w:eastAsia="Arial Unicode MS"/>
        </w:rPr>
        <w:t>ellu vii</w:t>
      </w:r>
      <w:r w:rsidR="007A463C">
        <w:rPr>
          <w:rFonts w:eastAsia="Arial Unicode MS"/>
        </w:rPr>
        <w:t>a esialgselt kokkulepitult</w:t>
      </w:r>
      <w:r w:rsidR="008B671E">
        <w:rPr>
          <w:rFonts w:eastAsia="Arial Unicode MS"/>
        </w:rPr>
        <w:t xml:space="preserve"> ja arenguplaan näeb ette järgmise etapi </w:t>
      </w:r>
      <w:r w:rsidR="009B258E">
        <w:rPr>
          <w:rFonts w:eastAsia="Arial Unicode MS"/>
        </w:rPr>
        <w:t xml:space="preserve">osade </w:t>
      </w:r>
      <w:r w:rsidR="008B671E">
        <w:rPr>
          <w:rFonts w:eastAsia="Arial Unicode MS"/>
        </w:rPr>
        <w:t>tegevuste rahastamist käesoleva toetusmeetme kaudu, saab ettevõtja koheselt esitada uue taotluse</w:t>
      </w:r>
      <w:r w:rsidR="007A463C">
        <w:rPr>
          <w:rFonts w:eastAsia="Arial Unicode MS"/>
        </w:rPr>
        <w:t xml:space="preserve"> toetuse saamiseks</w:t>
      </w:r>
      <w:r w:rsidR="008B671E">
        <w:rPr>
          <w:rFonts w:eastAsia="Arial Unicode MS"/>
        </w:rPr>
        <w:t>. Uue p</w:t>
      </w:r>
      <w:r w:rsidR="008B671E" w:rsidRPr="008B671E">
        <w:rPr>
          <w:rFonts w:eastAsia="Arial Unicode MS"/>
        </w:rPr>
        <w:t xml:space="preserve">rojekti </w:t>
      </w:r>
      <w:r w:rsidR="008B671E">
        <w:rPr>
          <w:rFonts w:eastAsia="Arial Unicode MS"/>
        </w:rPr>
        <w:t>kulud on abikõlblikud alates</w:t>
      </w:r>
      <w:r w:rsidR="008B671E" w:rsidRPr="008B671E">
        <w:rPr>
          <w:rFonts w:eastAsia="Arial Unicode MS"/>
        </w:rPr>
        <w:t xml:space="preserve"> taotluse rakendusüksusele esitamise kuupäevast või taotluses märgitud ja taotluse rahuldamise otsuses sätestatud hilisemast kuupäevast</w:t>
      </w:r>
      <w:r w:rsidR="008B671E">
        <w:rPr>
          <w:rFonts w:eastAsia="Arial Unicode MS"/>
        </w:rPr>
        <w:t>.</w:t>
      </w:r>
    </w:p>
    <w:p w14:paraId="15AAAE2A" w14:textId="77777777" w:rsidR="007A264C" w:rsidRDefault="007A264C" w:rsidP="007A264C">
      <w:pPr>
        <w:jc w:val="both"/>
        <w:rPr>
          <w:rFonts w:eastAsia="Arial Unicode MS"/>
        </w:rPr>
      </w:pPr>
    </w:p>
    <w:p w14:paraId="0AEA9F10" w14:textId="49367E09" w:rsidR="007A264C" w:rsidRDefault="007A264C" w:rsidP="007A264C">
      <w:pPr>
        <w:jc w:val="both"/>
        <w:rPr>
          <w:rFonts w:eastAsia="Arial Unicode MS"/>
        </w:rPr>
      </w:pPr>
      <w:r>
        <w:rPr>
          <w:rFonts w:eastAsia="Arial Unicode MS"/>
        </w:rPr>
        <w:t>Lähtudes riigiabi tingimustest, ei tohi t</w:t>
      </w:r>
      <w:r w:rsidRPr="00ED46FA">
        <w:rPr>
          <w:rFonts w:eastAsia="Arial Unicode MS"/>
        </w:rPr>
        <w:t>aotleja e alustada projektiga seotud tegevusi ega võtta kohustusi nimetatud tegevuste elluviimiseks enne taotluse esitamist rakendusüksusele.</w:t>
      </w:r>
    </w:p>
    <w:p w14:paraId="65E4CD73" w14:textId="77777777" w:rsidR="007A264C" w:rsidRDefault="007A264C" w:rsidP="007A264C">
      <w:pPr>
        <w:jc w:val="both"/>
        <w:rPr>
          <w:rFonts w:eastAsia="Arial Unicode MS"/>
        </w:rPr>
      </w:pPr>
    </w:p>
    <w:p w14:paraId="25F387B8" w14:textId="77777777" w:rsidR="00A52BA3" w:rsidRDefault="00A52BA3" w:rsidP="004346E8">
      <w:pPr>
        <w:jc w:val="both"/>
        <w:rPr>
          <w:rFonts w:eastAsia="Arial Unicode MS"/>
        </w:rPr>
      </w:pPr>
    </w:p>
    <w:p w14:paraId="0AAA573E" w14:textId="52341668" w:rsidR="00C752E2" w:rsidRDefault="000624D1" w:rsidP="004346E8">
      <w:pPr>
        <w:jc w:val="both"/>
        <w:rPr>
          <w:rFonts w:eastAsia="Arial Unicode MS"/>
        </w:rPr>
      </w:pPr>
      <w:r>
        <w:rPr>
          <w:rFonts w:eastAsia="Arial Unicode MS"/>
        </w:rPr>
        <w:t>E</w:t>
      </w:r>
      <w:r w:rsidR="00A654C2">
        <w:rPr>
          <w:rFonts w:eastAsia="Arial Unicode MS"/>
        </w:rPr>
        <w:t xml:space="preserve">elnõu paragrahv </w:t>
      </w:r>
      <w:r w:rsidR="000A56C6">
        <w:rPr>
          <w:rFonts w:eastAsia="Arial Unicode MS"/>
        </w:rPr>
        <w:t xml:space="preserve">sätestab </w:t>
      </w:r>
      <w:r w:rsidR="00A654C2">
        <w:rPr>
          <w:rFonts w:eastAsia="Arial Unicode MS"/>
        </w:rPr>
        <w:t xml:space="preserve">taotluste vastuvõtmisest alustamise, lõpetamise, toetusmeetme eelarvega seotud informastsiooni edastamise </w:t>
      </w:r>
      <w:r w:rsidR="000A56C6">
        <w:rPr>
          <w:rFonts w:eastAsia="Arial Unicode MS"/>
        </w:rPr>
        <w:t xml:space="preserve">tingimused. Lisaks toob käesolev paragrahv välja põhimõtted kuidas rakendusüksus menetleb taotlusi kui </w:t>
      </w:r>
      <w:r w:rsidR="009524C7">
        <w:rPr>
          <w:rFonts w:eastAsia="Arial Unicode MS"/>
        </w:rPr>
        <w:t>t</w:t>
      </w:r>
      <w:r w:rsidR="00C26C63">
        <w:rPr>
          <w:rFonts w:eastAsia="Arial Unicode MS"/>
        </w:rPr>
        <w:t xml:space="preserve">aotlustes küsitud summad saavad võrdseks või ületavad </w:t>
      </w:r>
      <w:r w:rsidR="000A56C6">
        <w:rPr>
          <w:rFonts w:eastAsia="Arial Unicode MS"/>
        </w:rPr>
        <w:t>toetustmeetme vaba</w:t>
      </w:r>
      <w:r w:rsidR="009524C7">
        <w:rPr>
          <w:rFonts w:eastAsia="Arial Unicode MS"/>
        </w:rPr>
        <w:t xml:space="preserve"> jääki</w:t>
      </w:r>
      <w:r w:rsidR="000A56C6">
        <w:rPr>
          <w:rFonts w:eastAsia="Arial Unicode MS"/>
        </w:rPr>
        <w:t>.</w:t>
      </w:r>
    </w:p>
    <w:p w14:paraId="43E19E3F" w14:textId="77777777" w:rsidR="00A654C2" w:rsidRPr="002E6552" w:rsidRDefault="00A654C2" w:rsidP="004346E8">
      <w:pPr>
        <w:jc w:val="both"/>
        <w:rPr>
          <w:rFonts w:eastAsia="Arial Unicode MS"/>
        </w:rPr>
      </w:pPr>
    </w:p>
    <w:p w14:paraId="41809D9F" w14:textId="77777777" w:rsidR="00F2413C" w:rsidRPr="002E6552" w:rsidRDefault="00F2413C" w:rsidP="004346E8">
      <w:pPr>
        <w:jc w:val="both"/>
        <w:rPr>
          <w:rFonts w:eastAsia="Arial Unicode MS"/>
        </w:rPr>
      </w:pPr>
      <w:r w:rsidRPr="002E6552">
        <w:rPr>
          <w:rFonts w:eastAsia="Arial Unicode MS"/>
          <w:u w:val="single"/>
        </w:rPr>
        <w:t>Eelnõu §-s 1</w:t>
      </w:r>
      <w:r w:rsidR="000A56C6">
        <w:rPr>
          <w:rFonts w:eastAsia="Arial Unicode MS"/>
          <w:u w:val="single"/>
        </w:rPr>
        <w:t>2</w:t>
      </w:r>
      <w:r w:rsidR="00F10C57" w:rsidRPr="002E6552">
        <w:rPr>
          <w:rFonts w:eastAsia="Arial Unicode MS"/>
        </w:rPr>
        <w:t xml:space="preserve"> sätestatakse </w:t>
      </w:r>
      <w:r w:rsidR="000A56C6">
        <w:rPr>
          <w:rFonts w:eastAsia="Arial Unicode MS"/>
        </w:rPr>
        <w:t>nõuded taotlejale</w:t>
      </w:r>
      <w:r w:rsidRPr="002E6552">
        <w:rPr>
          <w:rFonts w:eastAsia="Arial Unicode MS"/>
        </w:rPr>
        <w:t>.</w:t>
      </w:r>
    </w:p>
    <w:p w14:paraId="7E2BA237" w14:textId="77777777" w:rsidR="00F2413C" w:rsidRDefault="00F2413C" w:rsidP="004346E8">
      <w:pPr>
        <w:jc w:val="both"/>
        <w:rPr>
          <w:rFonts w:eastAsia="Arial Unicode MS"/>
        </w:rPr>
      </w:pPr>
    </w:p>
    <w:p w14:paraId="6AFB26CB" w14:textId="4DCA2B5E" w:rsidR="009524C7" w:rsidRPr="009524C7" w:rsidRDefault="009524C7" w:rsidP="004346E8">
      <w:pPr>
        <w:jc w:val="both"/>
        <w:rPr>
          <w:rFonts w:eastAsia="Arial Unicode MS"/>
        </w:rPr>
      </w:pPr>
      <w:r>
        <w:rPr>
          <w:rFonts w:eastAsia="Arial Unicode MS"/>
        </w:rPr>
        <w:t>Ettevõtete arenguprogramm on ellu kutsutud, et aidat</w:t>
      </w:r>
      <w:r w:rsidR="0019719D">
        <w:rPr>
          <w:rFonts w:eastAsia="Arial Unicode MS"/>
        </w:rPr>
        <w:t>a ettevõtjaid muuta oma tänast äritegevust</w:t>
      </w:r>
      <w:r>
        <w:rPr>
          <w:rFonts w:eastAsia="Arial Unicode MS"/>
        </w:rPr>
        <w:t xml:space="preserve"> keerukamaks, nutikamaks ja targ</w:t>
      </w:r>
      <w:r w:rsidR="00C26C63">
        <w:rPr>
          <w:rFonts w:eastAsia="Arial Unicode MS"/>
        </w:rPr>
        <w:t>emaks ning selle kaudu saavutada parema</w:t>
      </w:r>
      <w:r w:rsidR="00A44C02">
        <w:rPr>
          <w:rFonts w:eastAsia="Arial Unicode MS"/>
        </w:rPr>
        <w:t>i</w:t>
      </w:r>
      <w:r w:rsidR="00C26C63">
        <w:rPr>
          <w:rFonts w:eastAsia="Arial Unicode MS"/>
        </w:rPr>
        <w:t>d majandustulemusi</w:t>
      </w:r>
      <w:r>
        <w:rPr>
          <w:rFonts w:eastAsia="Arial Unicode MS"/>
        </w:rPr>
        <w:t xml:space="preserve">. </w:t>
      </w:r>
      <w:r w:rsidR="0072263C">
        <w:rPr>
          <w:rFonts w:eastAsia="Arial Unicode MS"/>
        </w:rPr>
        <w:t>Nimetatud muutuste alus</w:t>
      </w:r>
      <w:r w:rsidR="00A44C02">
        <w:rPr>
          <w:rFonts w:eastAsia="Arial Unicode MS"/>
        </w:rPr>
        <w:t>eks</w:t>
      </w:r>
      <w:r w:rsidR="0072263C">
        <w:rPr>
          <w:rFonts w:eastAsia="Arial Unicode MS"/>
        </w:rPr>
        <w:t xml:space="preserve"> ja abivahendiks on pikaaegne strateegiline tegevuskava – arenguplaan. Ühelt poolt </w:t>
      </w:r>
      <w:r w:rsidR="00C26C63">
        <w:rPr>
          <w:rFonts w:eastAsia="Arial Unicode MS"/>
        </w:rPr>
        <w:t>eeldab</w:t>
      </w:r>
      <w:r w:rsidR="0019719D">
        <w:rPr>
          <w:rFonts w:eastAsia="Arial Unicode MS"/>
        </w:rPr>
        <w:t xml:space="preserve"> soovitud</w:t>
      </w:r>
      <w:r w:rsidR="0072263C">
        <w:rPr>
          <w:rFonts w:eastAsia="Arial Unicode MS"/>
        </w:rPr>
        <w:t xml:space="preserve"> muutuste tegemine </w:t>
      </w:r>
      <w:r w:rsidR="006B0388">
        <w:rPr>
          <w:rFonts w:eastAsia="Arial Unicode MS"/>
        </w:rPr>
        <w:t>ettevõ</w:t>
      </w:r>
      <w:r w:rsidR="0068457C">
        <w:rPr>
          <w:rFonts w:eastAsia="Arial Unicode MS"/>
        </w:rPr>
        <w:t>tjalt eeldusi, sealhulgas</w:t>
      </w:r>
      <w:r w:rsidR="006B0388">
        <w:rPr>
          <w:rFonts w:eastAsia="Arial Unicode MS"/>
        </w:rPr>
        <w:t xml:space="preserve"> </w:t>
      </w:r>
      <w:r w:rsidR="0068457C">
        <w:rPr>
          <w:rFonts w:eastAsia="Arial Unicode MS"/>
        </w:rPr>
        <w:t>eelnev</w:t>
      </w:r>
      <w:r w:rsidR="0019719D">
        <w:rPr>
          <w:rFonts w:eastAsia="Arial Unicode MS"/>
        </w:rPr>
        <w:t>at</w:t>
      </w:r>
      <w:r w:rsidR="0068457C">
        <w:rPr>
          <w:rFonts w:eastAsia="Arial Unicode MS"/>
        </w:rPr>
        <w:t xml:space="preserve"> kogemus</w:t>
      </w:r>
      <w:r w:rsidR="0019719D">
        <w:rPr>
          <w:rFonts w:eastAsia="Arial Unicode MS"/>
        </w:rPr>
        <w:t>t</w:t>
      </w:r>
      <w:r w:rsidR="0068457C">
        <w:rPr>
          <w:rFonts w:eastAsia="Arial Unicode MS"/>
        </w:rPr>
        <w:t xml:space="preserve"> ja edukus</w:t>
      </w:r>
      <w:r w:rsidR="0019719D">
        <w:rPr>
          <w:rFonts w:eastAsia="Arial Unicode MS"/>
        </w:rPr>
        <w:t>t</w:t>
      </w:r>
      <w:r w:rsidR="00062E9A">
        <w:rPr>
          <w:rFonts w:eastAsia="Arial Unicode MS"/>
        </w:rPr>
        <w:t xml:space="preserve"> oma senise äriplaani ja selle tegevust</w:t>
      </w:r>
      <w:r w:rsidR="00C26C63">
        <w:rPr>
          <w:rFonts w:eastAsia="Arial Unicode MS"/>
        </w:rPr>
        <w:t>e</w:t>
      </w:r>
      <w:r w:rsidR="0068457C">
        <w:rPr>
          <w:rFonts w:eastAsia="Arial Unicode MS"/>
        </w:rPr>
        <w:t xml:space="preserve">  </w:t>
      </w:r>
      <w:r w:rsidR="00062E9A">
        <w:rPr>
          <w:rFonts w:eastAsia="Arial Unicode MS"/>
        </w:rPr>
        <w:t>elluviimisel</w:t>
      </w:r>
      <w:r w:rsidR="00C26C63">
        <w:rPr>
          <w:rFonts w:eastAsia="Arial Unicode MS"/>
        </w:rPr>
        <w:t>. Teisalt ressursse, näiteks</w:t>
      </w:r>
      <w:r w:rsidR="0019719D">
        <w:rPr>
          <w:rFonts w:eastAsia="Arial Unicode MS"/>
        </w:rPr>
        <w:t xml:space="preserve"> </w:t>
      </w:r>
      <w:r w:rsidR="006B0388">
        <w:rPr>
          <w:rFonts w:eastAsia="Arial Unicode MS"/>
        </w:rPr>
        <w:t>piisav</w:t>
      </w:r>
      <w:r w:rsidR="0019719D">
        <w:rPr>
          <w:rFonts w:eastAsia="Arial Unicode MS"/>
        </w:rPr>
        <w:t>at</w:t>
      </w:r>
      <w:r w:rsidR="006B0388">
        <w:rPr>
          <w:rFonts w:eastAsia="Arial Unicode MS"/>
        </w:rPr>
        <w:t xml:space="preserve"> hulk</w:t>
      </w:r>
      <w:r w:rsidR="0019719D">
        <w:rPr>
          <w:rFonts w:eastAsia="Arial Unicode MS"/>
        </w:rPr>
        <w:t>a</w:t>
      </w:r>
      <w:r w:rsidR="006B0388">
        <w:rPr>
          <w:rFonts w:eastAsia="Arial Unicode MS"/>
        </w:rPr>
        <w:t xml:space="preserve"> teadmiste ja oskuste töötajaid</w:t>
      </w:r>
      <w:r w:rsidR="0068457C">
        <w:rPr>
          <w:rFonts w:eastAsia="Arial Unicode MS"/>
        </w:rPr>
        <w:t>, ke</w:t>
      </w:r>
      <w:r w:rsidR="0019719D">
        <w:rPr>
          <w:rFonts w:eastAsia="Arial Unicode MS"/>
        </w:rPr>
        <w:t>lle abil kavandatud muutusi teha.</w:t>
      </w:r>
      <w:r w:rsidR="0072263C">
        <w:rPr>
          <w:rFonts w:eastAsia="Arial Unicode MS"/>
        </w:rPr>
        <w:t xml:space="preserve"> </w:t>
      </w:r>
      <w:r w:rsidR="0019719D">
        <w:rPr>
          <w:rFonts w:eastAsia="Arial Unicode MS"/>
        </w:rPr>
        <w:t xml:space="preserve">Samas </w:t>
      </w:r>
      <w:r w:rsidR="00062E9A">
        <w:rPr>
          <w:rFonts w:eastAsia="Arial Unicode MS"/>
        </w:rPr>
        <w:t xml:space="preserve">on meetme </w:t>
      </w:r>
      <w:r w:rsidR="0019719D">
        <w:rPr>
          <w:rFonts w:eastAsia="Arial Unicode MS"/>
        </w:rPr>
        <w:t>sihtrühmaks ettevõtjad, kellel sisemisi ressursse napib ja</w:t>
      </w:r>
      <w:r w:rsidR="00F753BF">
        <w:rPr>
          <w:rFonts w:eastAsia="Arial Unicode MS"/>
        </w:rPr>
        <w:t xml:space="preserve"> </w:t>
      </w:r>
      <w:r w:rsidR="0019719D">
        <w:rPr>
          <w:rFonts w:eastAsia="Arial Unicode MS"/>
        </w:rPr>
        <w:t xml:space="preserve">kelle puhul </w:t>
      </w:r>
      <w:r w:rsidR="00F753BF">
        <w:rPr>
          <w:rFonts w:eastAsia="Arial Unicode MS"/>
        </w:rPr>
        <w:t xml:space="preserve">seetõttu </w:t>
      </w:r>
      <w:r w:rsidR="0019719D">
        <w:rPr>
          <w:rFonts w:eastAsia="Arial Unicode MS"/>
        </w:rPr>
        <w:t>on riigipoolne sekkumine põhjendatud. Tulenevalt eeltoodust on</w:t>
      </w:r>
      <w:r w:rsidR="00250F16">
        <w:rPr>
          <w:rFonts w:eastAsia="Arial Unicode MS"/>
        </w:rPr>
        <w:t xml:space="preserve"> eelnõu sihtrühmaks </w:t>
      </w:r>
      <w:r w:rsidRPr="009524C7">
        <w:rPr>
          <w:rFonts w:eastAsia="Arial Unicode MS"/>
        </w:rPr>
        <w:t>Eesti äriregistrisse kantud kaheksa või enama töötajaga VKEst äriühing, kes on tegutsenud vähemalt kolm aastat ning kes:</w:t>
      </w:r>
    </w:p>
    <w:p w14:paraId="400C1BAD" w14:textId="77777777" w:rsidR="009524C7" w:rsidRPr="009524C7" w:rsidRDefault="009524C7" w:rsidP="004346E8">
      <w:pPr>
        <w:pStyle w:val="ListParagraph"/>
        <w:numPr>
          <w:ilvl w:val="0"/>
          <w:numId w:val="41"/>
        </w:numPr>
        <w:spacing w:line="240" w:lineRule="auto"/>
        <w:jc w:val="both"/>
        <w:rPr>
          <w:rFonts w:ascii="Times New Roman" w:eastAsia="Arial Unicode MS" w:hAnsi="Times New Roman"/>
          <w:sz w:val="24"/>
          <w:szCs w:val="24"/>
        </w:rPr>
      </w:pPr>
      <w:r w:rsidRPr="009524C7">
        <w:rPr>
          <w:rFonts w:ascii="Times New Roman" w:eastAsia="Arial Unicode MS" w:hAnsi="Times New Roman"/>
          <w:sz w:val="24"/>
          <w:szCs w:val="24"/>
        </w:rPr>
        <w:t>on teeninud eelmisel m</w:t>
      </w:r>
      <w:r>
        <w:rPr>
          <w:rFonts w:ascii="Times New Roman" w:eastAsia="Arial Unicode MS" w:hAnsi="Times New Roman"/>
          <w:sz w:val="24"/>
          <w:szCs w:val="24"/>
        </w:rPr>
        <w:t>ajandusaastal ekspordimüügitulu, või</w:t>
      </w:r>
    </w:p>
    <w:p w14:paraId="2B8EA546" w14:textId="77777777" w:rsidR="00250F16" w:rsidRDefault="009524C7" w:rsidP="004346E8">
      <w:pPr>
        <w:pStyle w:val="ListParagraph"/>
        <w:numPr>
          <w:ilvl w:val="0"/>
          <w:numId w:val="41"/>
        </w:numPr>
        <w:spacing w:line="240" w:lineRule="auto"/>
        <w:jc w:val="both"/>
        <w:rPr>
          <w:rFonts w:ascii="Times New Roman" w:eastAsia="Arial Unicode MS" w:hAnsi="Times New Roman"/>
          <w:sz w:val="24"/>
          <w:szCs w:val="24"/>
        </w:rPr>
      </w:pPr>
      <w:r w:rsidRPr="009524C7">
        <w:rPr>
          <w:rFonts w:ascii="Times New Roman" w:eastAsia="Arial Unicode MS" w:hAnsi="Times New Roman"/>
          <w:sz w:val="24"/>
          <w:szCs w:val="24"/>
        </w:rPr>
        <w:t>on kasvatanud viimase kolme majandusaasta jooksul ettevõtja müügikäivet igas majandusaastas keskmiselt  10%.</w:t>
      </w:r>
    </w:p>
    <w:p w14:paraId="1A6737B6" w14:textId="77777777" w:rsidR="00250F16" w:rsidRDefault="00250F16" w:rsidP="00D75E47">
      <w:pPr>
        <w:jc w:val="both"/>
        <w:rPr>
          <w:rFonts w:eastAsia="Arial Unicode MS"/>
        </w:rPr>
      </w:pPr>
      <w:r>
        <w:rPr>
          <w:rFonts w:eastAsia="Arial Unicode MS"/>
        </w:rPr>
        <w:t xml:space="preserve">Lisaks toob käesolev paragrahv välja peamised tingimused struktuuritoetustega seotud seadusandlusest ja maksukorraldusega seotud seadusandlusest, millele </w:t>
      </w:r>
      <w:r w:rsidR="00195D70">
        <w:rPr>
          <w:rFonts w:eastAsia="Arial Unicode MS"/>
        </w:rPr>
        <w:t xml:space="preserve">taotleja peab vastama. </w:t>
      </w:r>
    </w:p>
    <w:p w14:paraId="2862B6C2" w14:textId="77777777" w:rsidR="00F753BF" w:rsidRPr="00250F16" w:rsidRDefault="00F753BF">
      <w:pPr>
        <w:jc w:val="both"/>
        <w:rPr>
          <w:rFonts w:eastAsia="Arial Unicode MS"/>
        </w:rPr>
      </w:pPr>
    </w:p>
    <w:p w14:paraId="04D10D53" w14:textId="19F311F3" w:rsidR="005065D4" w:rsidRPr="002E6552" w:rsidRDefault="000624D1" w:rsidP="00605BE6">
      <w:pPr>
        <w:jc w:val="both"/>
        <w:rPr>
          <w:rFonts w:eastAsia="Arial Unicode MS"/>
        </w:rPr>
      </w:pPr>
      <w:r>
        <w:rPr>
          <w:rFonts w:eastAsia="Arial Unicode MS"/>
        </w:rPr>
        <w:t>P</w:t>
      </w:r>
      <w:r w:rsidR="00195D70">
        <w:rPr>
          <w:rFonts w:eastAsia="Arial Unicode MS"/>
        </w:rPr>
        <w:t xml:space="preserve">aragrahv sätestab ka taotlejat puudutavad </w:t>
      </w:r>
      <w:r w:rsidR="005065D4" w:rsidRPr="002E6552">
        <w:rPr>
          <w:rFonts w:eastAsia="Arial Unicode MS"/>
        </w:rPr>
        <w:t>vähese tähtsusega abi määrusest tulenevad piirangud</w:t>
      </w:r>
      <w:r w:rsidR="00195D70">
        <w:rPr>
          <w:rFonts w:eastAsia="Arial Unicode MS"/>
        </w:rPr>
        <w:t>.</w:t>
      </w:r>
      <w:r w:rsidR="005065D4" w:rsidRPr="002E6552">
        <w:rPr>
          <w:rFonts w:eastAsia="Arial Unicode MS"/>
        </w:rPr>
        <w:t xml:space="preserve"> Vähese tähtsusega abi piirsumma on 200 000 eurot kolme majandusaasta kohta. Sealjuures peetakse vähese tähtsusega abi arvestust</w:t>
      </w:r>
      <w:r w:rsidR="00195D70">
        <w:rPr>
          <w:rFonts w:eastAsia="Arial Unicode MS"/>
        </w:rPr>
        <w:t xml:space="preserve"> abi saaja kohta. Teisisõnu</w:t>
      </w:r>
      <w:r w:rsidR="005065D4" w:rsidRPr="002E6552">
        <w:rPr>
          <w:rFonts w:eastAsia="Arial Unicode MS"/>
        </w:rPr>
        <w:t xml:space="preserve"> </w:t>
      </w:r>
      <w:r w:rsidR="00195D70">
        <w:rPr>
          <w:rFonts w:eastAsia="Arial Unicode MS"/>
        </w:rPr>
        <w:t>taotlejaks oleva ettevõtja</w:t>
      </w:r>
      <w:r w:rsidR="005065D4" w:rsidRPr="002E6552">
        <w:rPr>
          <w:rFonts w:eastAsia="Arial Unicode MS"/>
        </w:rPr>
        <w:t xml:space="preserve"> </w:t>
      </w:r>
      <w:r w:rsidR="001772A9" w:rsidRPr="002E6552">
        <w:rPr>
          <w:rFonts w:eastAsia="Arial Unicode MS"/>
        </w:rPr>
        <w:t xml:space="preserve">kõigi </w:t>
      </w:r>
      <w:r w:rsidR="005065D4" w:rsidRPr="002E6552">
        <w:rPr>
          <w:rFonts w:eastAsia="Arial Unicode MS"/>
        </w:rPr>
        <w:t xml:space="preserve">erinevate meetme kaudu </w:t>
      </w:r>
      <w:r w:rsidR="00195D70">
        <w:rPr>
          <w:rFonts w:eastAsia="Arial Unicode MS"/>
        </w:rPr>
        <w:t xml:space="preserve">saadud ja rahaliselt mõõdetava </w:t>
      </w:r>
      <w:r w:rsidR="005065D4" w:rsidRPr="002E6552">
        <w:rPr>
          <w:rFonts w:eastAsia="Arial Unicode MS"/>
        </w:rPr>
        <w:t xml:space="preserve">vähese tähtsusega abi </w:t>
      </w:r>
      <w:r w:rsidR="00195D70">
        <w:rPr>
          <w:rFonts w:eastAsia="Arial Unicode MS"/>
        </w:rPr>
        <w:t xml:space="preserve">piir </w:t>
      </w:r>
      <w:r w:rsidR="005065D4" w:rsidRPr="002E6552">
        <w:rPr>
          <w:rFonts w:eastAsia="Arial Unicode MS"/>
        </w:rPr>
        <w:t>vastama neile tingimustele.</w:t>
      </w:r>
    </w:p>
    <w:p w14:paraId="62F8D236" w14:textId="77777777" w:rsidR="001772A9" w:rsidRPr="002E6552" w:rsidRDefault="001772A9" w:rsidP="00605BE6">
      <w:pPr>
        <w:jc w:val="both"/>
        <w:rPr>
          <w:rFonts w:eastAsia="Arial Unicode MS"/>
        </w:rPr>
      </w:pPr>
    </w:p>
    <w:p w14:paraId="7EA55022" w14:textId="77777777" w:rsidR="001772A9" w:rsidRPr="002E6552" w:rsidRDefault="001772A9" w:rsidP="00605BE6">
      <w:pPr>
        <w:jc w:val="both"/>
        <w:rPr>
          <w:rFonts w:eastAsia="Arial Unicode MS"/>
        </w:rPr>
      </w:pPr>
      <w:r w:rsidRPr="002E6552">
        <w:rPr>
          <w:rFonts w:eastAsia="Arial Unicode MS"/>
          <w:u w:val="single"/>
        </w:rPr>
        <w:t xml:space="preserve">Eelnõu §-s </w:t>
      </w:r>
      <w:r w:rsidR="00195D70">
        <w:rPr>
          <w:rFonts w:eastAsia="Arial Unicode MS"/>
        </w:rPr>
        <w:t>13</w:t>
      </w:r>
      <w:r w:rsidRPr="002E6552">
        <w:rPr>
          <w:rFonts w:eastAsia="Arial Unicode MS"/>
        </w:rPr>
        <w:t xml:space="preserve"> tuuakse välja taotleja kohustused.</w:t>
      </w:r>
    </w:p>
    <w:p w14:paraId="2700257C" w14:textId="77777777" w:rsidR="00F2413C" w:rsidRDefault="00F2413C" w:rsidP="00605BE6">
      <w:pPr>
        <w:jc w:val="both"/>
        <w:rPr>
          <w:rFonts w:eastAsia="Arial Unicode MS"/>
        </w:rPr>
      </w:pPr>
    </w:p>
    <w:p w14:paraId="4BAAC6B6" w14:textId="43F8F275" w:rsidR="00195D70" w:rsidRDefault="00F753BF" w:rsidP="00605BE6">
      <w:pPr>
        <w:jc w:val="both"/>
        <w:rPr>
          <w:rFonts w:eastAsia="Arial Unicode MS"/>
        </w:rPr>
      </w:pPr>
      <w:r>
        <w:rPr>
          <w:rFonts w:eastAsia="Arial Unicode MS"/>
        </w:rPr>
        <w:t>Taotlejal on kohustus tõendada</w:t>
      </w:r>
      <w:r w:rsidR="00195D70">
        <w:rPr>
          <w:rFonts w:eastAsia="Arial Unicode MS"/>
        </w:rPr>
        <w:t xml:space="preserve">, </w:t>
      </w:r>
      <w:r>
        <w:rPr>
          <w:rFonts w:eastAsia="Arial Unicode MS"/>
        </w:rPr>
        <w:t xml:space="preserve">et </w:t>
      </w:r>
      <w:r w:rsidR="00195D70" w:rsidRPr="00195D70">
        <w:rPr>
          <w:rFonts w:eastAsia="Arial Unicode MS"/>
        </w:rPr>
        <w:t>taotlustes esitatud teave vastab käesolevas määruses säte</w:t>
      </w:r>
      <w:r w:rsidR="00195D70">
        <w:rPr>
          <w:rFonts w:eastAsia="Arial Unicode MS"/>
        </w:rPr>
        <w:t>statud nõuetele ja tingimustele. Juhul kui taotluses esitatud andmed või teave muutub, peab taotleja sellest rakendusüksust teavitama.</w:t>
      </w:r>
    </w:p>
    <w:p w14:paraId="71960496" w14:textId="77777777" w:rsidR="00195D70" w:rsidRPr="002E6552" w:rsidRDefault="00195D70" w:rsidP="00605BE6">
      <w:pPr>
        <w:jc w:val="both"/>
        <w:rPr>
          <w:rFonts w:eastAsia="Arial Unicode MS"/>
        </w:rPr>
      </w:pPr>
      <w:r>
        <w:rPr>
          <w:rFonts w:eastAsia="Arial Unicode MS"/>
        </w:rPr>
        <w:t xml:space="preserve"> </w:t>
      </w:r>
    </w:p>
    <w:p w14:paraId="233AF1D8" w14:textId="77777777" w:rsidR="00F2413C" w:rsidRPr="002E6552" w:rsidRDefault="00195D70" w:rsidP="00605BE6">
      <w:pPr>
        <w:jc w:val="both"/>
        <w:rPr>
          <w:rFonts w:eastAsia="Arial Unicode MS"/>
        </w:rPr>
      </w:pPr>
      <w:r>
        <w:rPr>
          <w:rFonts w:eastAsia="Arial Unicode MS"/>
          <w:u w:val="single"/>
        </w:rPr>
        <w:t>Eelnõu §-s 14</w:t>
      </w:r>
      <w:r w:rsidR="001772A9" w:rsidRPr="002E6552">
        <w:rPr>
          <w:rFonts w:eastAsia="Arial Unicode MS"/>
        </w:rPr>
        <w:t xml:space="preserve"> nimetatakse nõuded </w:t>
      </w:r>
      <w:r>
        <w:rPr>
          <w:rFonts w:eastAsia="Arial Unicode MS"/>
        </w:rPr>
        <w:t>taotlusele.</w:t>
      </w:r>
    </w:p>
    <w:p w14:paraId="275CAEFB" w14:textId="77777777" w:rsidR="00BF7243" w:rsidRDefault="00BF7243" w:rsidP="00605BE6">
      <w:pPr>
        <w:jc w:val="both"/>
      </w:pPr>
    </w:p>
    <w:p w14:paraId="29B19FE9" w14:textId="4E1A9968" w:rsidR="00ED499A" w:rsidRDefault="00303421" w:rsidP="00605BE6">
      <w:pPr>
        <w:jc w:val="both"/>
      </w:pPr>
      <w:r>
        <w:t>Üks ol</w:t>
      </w:r>
      <w:r w:rsidR="00A44C02">
        <w:t>u</w:t>
      </w:r>
      <w:r>
        <w:t>line suund, mida toetuse taotlemisel soovita</w:t>
      </w:r>
      <w:r w:rsidR="001D58C8">
        <w:t>kse nimetatud eelnõu ja ettevõt</w:t>
      </w:r>
      <w:r>
        <w:t xml:space="preserve">te arenguprogrammi kaasabil kasutusse võtta, on </w:t>
      </w:r>
      <w:r w:rsidR="00BF7243">
        <w:t>ettevõtja ja rakend</w:t>
      </w:r>
      <w:r>
        <w:t>usüksuse bürokraatia vähendamine. Püütakse lähtuda põhimõt</w:t>
      </w:r>
      <w:r w:rsidR="00A44C02">
        <w:t>t</w:t>
      </w:r>
      <w:r>
        <w:t>est, et andmed ja teave, mis on olemas või avalikult kättesaadav, teistkordselt ei küsita.</w:t>
      </w:r>
    </w:p>
    <w:p w14:paraId="1E50877C" w14:textId="77777777" w:rsidR="00303421" w:rsidRDefault="00303421" w:rsidP="00605BE6">
      <w:pPr>
        <w:jc w:val="both"/>
      </w:pPr>
    </w:p>
    <w:p w14:paraId="126A71B9" w14:textId="49E9B803" w:rsidR="000A3018" w:rsidRDefault="000624D1" w:rsidP="00605BE6">
      <w:pPr>
        <w:jc w:val="both"/>
      </w:pPr>
      <w:r>
        <w:t>E</w:t>
      </w:r>
      <w:r w:rsidR="000A3018">
        <w:t>el</w:t>
      </w:r>
      <w:r w:rsidR="001D58C8">
        <w:t>nõu on osa ettevõt</w:t>
      </w:r>
      <w:r w:rsidR="000A3018">
        <w:t xml:space="preserve">te arenguprogrammist ja toetuse taotlemisele eelneb rakendusüksuse ja ettevõtja </w:t>
      </w:r>
      <w:r w:rsidR="00BF7243">
        <w:t xml:space="preserve">tihe </w:t>
      </w:r>
      <w:r w:rsidR="000A3018">
        <w:t xml:space="preserve">koostöö arenguplaani ettevalmistamisel ja koostamisel. </w:t>
      </w:r>
      <w:r w:rsidR="00BF7243">
        <w:t>Nimeta</w:t>
      </w:r>
      <w:r w:rsidR="00A44C02">
        <w:t>t</w:t>
      </w:r>
      <w:r w:rsidR="00BF7243">
        <w:t xml:space="preserve">ud koostöö tulemusel omab rakendusüksus toetuse taotlemise hetkeks juba </w:t>
      </w:r>
      <w:r w:rsidR="00303421">
        <w:t>nimetamisväärsel kogusel eelinfo</w:t>
      </w:r>
      <w:r w:rsidR="00F753BF">
        <w:t>rmatsiooni</w:t>
      </w:r>
      <w:r w:rsidR="00303421">
        <w:t xml:space="preserve"> </w:t>
      </w:r>
      <w:r w:rsidR="000A3018">
        <w:t>ettevõtja tänaste tugevuste ja tulevikuplaanid</w:t>
      </w:r>
      <w:r w:rsidR="00BF7243">
        <w:t>e</w:t>
      </w:r>
      <w:r w:rsidR="000A3018">
        <w:t xml:space="preserve"> kohta</w:t>
      </w:r>
      <w:r w:rsidR="00BF7243">
        <w:t>. Mistõttu puudub</w:t>
      </w:r>
      <w:r w:rsidR="000A3018">
        <w:t xml:space="preserve"> </w:t>
      </w:r>
      <w:r w:rsidR="00BF7243">
        <w:lastRenderedPageBreak/>
        <w:t xml:space="preserve">rakendusüksusel </w:t>
      </w:r>
      <w:r w:rsidR="000A3018">
        <w:t>vajadus</w:t>
      </w:r>
      <w:r w:rsidR="00BF7243">
        <w:t xml:space="preserve"> küsida ta</w:t>
      </w:r>
      <w:r w:rsidR="00303421">
        <w:t>vapärases mahus informatsiooni. N</w:t>
      </w:r>
      <w:r w:rsidR="00BF7243">
        <w:t xml:space="preserve">äiteks </w:t>
      </w:r>
      <w:r w:rsidR="00303421">
        <w:t xml:space="preserve">ei pea ettevõtja esitama </w:t>
      </w:r>
      <w:r w:rsidR="00BF7243">
        <w:t>eraldiseisev</w:t>
      </w:r>
      <w:r w:rsidR="00303421">
        <w:t>at</w:t>
      </w:r>
      <w:r w:rsidR="00BF7243">
        <w:t xml:space="preserve"> äriplaan</w:t>
      </w:r>
      <w:r w:rsidR="00303421">
        <w:t>i ja majandustulemuste prognoosi</w:t>
      </w:r>
      <w:r w:rsidR="00BF7243">
        <w:t>.</w:t>
      </w:r>
    </w:p>
    <w:p w14:paraId="1899793C" w14:textId="77777777" w:rsidR="00BF7243" w:rsidRDefault="00BF7243" w:rsidP="00605BE6">
      <w:pPr>
        <w:jc w:val="both"/>
      </w:pPr>
    </w:p>
    <w:p w14:paraId="52CCC105" w14:textId="448CDCCF" w:rsidR="00F64594" w:rsidRDefault="00F64594" w:rsidP="00605BE6">
      <w:pPr>
        <w:jc w:val="both"/>
      </w:pPr>
      <w:r>
        <w:t xml:space="preserve">Arenguplaani elluviiv ettevõtja viib arenguplaani tegevusi ellu etapiviisiliselt. </w:t>
      </w:r>
      <w:r w:rsidR="00032221">
        <w:t>Projekt on arenguplaani etap</w:t>
      </w:r>
      <w:r w:rsidR="001D58C8">
        <w:t>p</w:t>
      </w:r>
      <w:r w:rsidR="00032221">
        <w:t xml:space="preserve">, see osa millele taoteldakse toetust. Teisisõnu need tegevused, mida viiakse ellu ühes arenguplaani etapis antud toetusmeetme  toel, moodustavad ühe projekti. Tavapäraselt on ühe arenguplaani etapiga seotud üks projekt, mis koosneb erinevatest tegevustest. </w:t>
      </w:r>
      <w:r>
        <w:t>Sellest tulenevalt sätestab antud paragarahv, et i</w:t>
      </w:r>
      <w:r w:rsidRPr="00F64594">
        <w:t xml:space="preserve">ga arenguplaani etapi projektitaotluse esitamise eelduseks eelneva etapi projekti edukas elluviimine ja rakendusüksuse poolt </w:t>
      </w:r>
      <w:r w:rsidR="00032221">
        <w:t>heakskiitmine</w:t>
      </w:r>
      <w:r w:rsidRPr="00F64594">
        <w:t xml:space="preserve">. </w:t>
      </w:r>
      <w:r>
        <w:t>Ainult erandkorras ja kooskõlas arenguplaaniga</w:t>
      </w:r>
      <w:r w:rsidRPr="00F64594">
        <w:t xml:space="preserve"> võib taotleja </w:t>
      </w:r>
      <w:r w:rsidR="00032221">
        <w:t xml:space="preserve">ühes etapis </w:t>
      </w:r>
      <w:r w:rsidRPr="00F64594">
        <w:t>esitada uue projekti taotluse enne eelneva projekti</w:t>
      </w:r>
      <w:r w:rsidR="00A44C02">
        <w:t xml:space="preserve"> lõppemist</w:t>
      </w:r>
      <w:r>
        <w:t xml:space="preserve">. </w:t>
      </w:r>
    </w:p>
    <w:p w14:paraId="1415CEEF" w14:textId="77777777" w:rsidR="00794229" w:rsidRDefault="00794229" w:rsidP="00605BE6">
      <w:pPr>
        <w:jc w:val="both"/>
      </w:pPr>
    </w:p>
    <w:p w14:paraId="577BED9F" w14:textId="7769C8B6" w:rsidR="00F753BF" w:rsidRDefault="003E6750" w:rsidP="00605BE6">
      <w:pPr>
        <w:jc w:val="both"/>
        <w:rPr>
          <w:rFonts w:eastAsia="Arial Unicode MS"/>
        </w:rPr>
      </w:pPr>
      <w:r>
        <w:t xml:space="preserve">Lisaks sätestab antud paragrahv, milliseid andmeid ja dokumente peab taotleja taotlusega koos esitama. </w:t>
      </w:r>
      <w:r w:rsidR="00794229">
        <w:t xml:space="preserve">Vastavalt eelnõus sätestatule peab taotleja iga projekti puhul esitama rakendusüksuse poolt </w:t>
      </w:r>
      <w:r w:rsidR="007A112C">
        <w:t>heaks kiidetud</w:t>
      </w:r>
      <w:r w:rsidR="00F753BF">
        <w:t xml:space="preserve"> </w:t>
      </w:r>
      <w:r w:rsidR="00794229">
        <w:t xml:space="preserve">arenguplaani. Kui arenguplaani elluviimine sujub tõrgeteta ja ei ole tekkinud vajadust muutusteks, siis arenguplaani </w:t>
      </w:r>
      <w:r w:rsidR="00A44C02">
        <w:t>järgnevates etappides</w:t>
      </w:r>
      <w:r w:rsidR="00794229">
        <w:t xml:space="preserve"> nn. füüsiline esitamine pole kohustuslik. Rakendusüksus lihtsalt fikseerib esitamise oma siseprotsessides. </w:t>
      </w:r>
    </w:p>
    <w:p w14:paraId="6C537DA1" w14:textId="77777777" w:rsidR="00F753BF" w:rsidRDefault="00F753BF" w:rsidP="00605BE6">
      <w:pPr>
        <w:jc w:val="both"/>
        <w:rPr>
          <w:rFonts w:eastAsia="Arial Unicode MS"/>
        </w:rPr>
      </w:pPr>
    </w:p>
    <w:p w14:paraId="46DE2BEC" w14:textId="0616AEA4" w:rsidR="00F753BF" w:rsidRDefault="00F753BF" w:rsidP="00605BE6">
      <w:pPr>
        <w:jc w:val="both"/>
        <w:rPr>
          <w:rFonts w:eastAsia="Arial Unicode MS"/>
        </w:rPr>
      </w:pPr>
      <w:r>
        <w:rPr>
          <w:rFonts w:eastAsia="Arial Unicode MS"/>
        </w:rPr>
        <w:t>Arenguplaani elluviimiseks kasutab ettevõtja peale käesoleva eelnõu ka muid rahastamiskanaleid. Olgu nendeks siis riiklikud vahendid (näiteks toetused, laenud, omakapitali- või muud investeeringud), eraturult kaasatud vahendid või ettevõtte omavahendid. Sellest läht</w:t>
      </w:r>
      <w:r w:rsidR="007A112C">
        <w:rPr>
          <w:rFonts w:eastAsia="Arial Unicode MS"/>
        </w:rPr>
        <w:t>udes võib arenguplaani ühe etap</w:t>
      </w:r>
      <w:r>
        <w:rPr>
          <w:rFonts w:eastAsia="Arial Unicode MS"/>
        </w:rPr>
        <w:t>i rahastamine koosneda ka erinevatest rahastamisallikatest. Samas on olukordi, kus arenguplaani mõni etapp viiakse ellu ilma eelnõu toeta. Nimetatud etapile võib järgneda taas eelnõuga elluviidav</w:t>
      </w:r>
      <w:r w:rsidR="00A44C02">
        <w:rPr>
          <w:rFonts w:eastAsia="Arial Unicode MS"/>
        </w:rPr>
        <w:t>a</w:t>
      </w:r>
      <w:r>
        <w:rPr>
          <w:rFonts w:eastAsia="Arial Unicode MS"/>
        </w:rPr>
        <w:t>id tegevusi sisaldav etapp. Se</w:t>
      </w:r>
      <w:r w:rsidR="00A44C02">
        <w:rPr>
          <w:rFonts w:eastAsia="Arial Unicode MS"/>
        </w:rPr>
        <w:t>epärast</w:t>
      </w:r>
      <w:r>
        <w:rPr>
          <w:rFonts w:eastAsia="Arial Unicode MS"/>
        </w:rPr>
        <w:t xml:space="preserve"> on ühelt poolt oluline, et arenguplaan oleks tervik ja teisalt vaadatakse arenguplaan enne iga uue rahastamisotsuse tegemist uuesti üle.</w:t>
      </w:r>
      <w:r w:rsidRPr="00F753BF">
        <w:t xml:space="preserve"> </w:t>
      </w:r>
      <w:r>
        <w:t xml:space="preserve"> Arenguplaani esitamine koos taotlusega annab täiendava võimaluse arenguplaani ülevaatmiseks.</w:t>
      </w:r>
    </w:p>
    <w:p w14:paraId="4A5A8E94" w14:textId="77777777" w:rsidR="000D389E" w:rsidRPr="000D389E" w:rsidRDefault="000D389E" w:rsidP="00605BE6">
      <w:pPr>
        <w:jc w:val="both"/>
      </w:pPr>
    </w:p>
    <w:p w14:paraId="0F1C9969" w14:textId="77777777" w:rsidR="00A95C63" w:rsidRDefault="00A95C63" w:rsidP="00605BE6">
      <w:pPr>
        <w:jc w:val="both"/>
        <w:rPr>
          <w:b/>
          <w:lang w:eastAsia="et-EE"/>
        </w:rPr>
      </w:pPr>
      <w:r>
        <w:rPr>
          <w:b/>
          <w:lang w:eastAsia="et-EE"/>
        </w:rPr>
        <w:t>4. peatükk</w:t>
      </w:r>
    </w:p>
    <w:p w14:paraId="57361C39" w14:textId="77777777" w:rsidR="00F10C57" w:rsidRPr="002E6552" w:rsidRDefault="00303421" w:rsidP="00605BE6">
      <w:pPr>
        <w:jc w:val="both"/>
        <w:rPr>
          <w:b/>
          <w:lang w:eastAsia="et-EE"/>
        </w:rPr>
      </w:pPr>
      <w:r>
        <w:rPr>
          <w:b/>
          <w:lang w:eastAsia="et-EE"/>
        </w:rPr>
        <w:t>T</w:t>
      </w:r>
      <w:r w:rsidR="00F10C57" w:rsidRPr="002E6552">
        <w:rPr>
          <w:b/>
          <w:lang w:eastAsia="et-EE"/>
        </w:rPr>
        <w:t>aotluse menetlemine.</w:t>
      </w:r>
    </w:p>
    <w:p w14:paraId="51E590B2" w14:textId="77777777" w:rsidR="00F10C57" w:rsidRPr="002E6552" w:rsidRDefault="00F10C57" w:rsidP="00605BE6">
      <w:pPr>
        <w:jc w:val="both"/>
        <w:rPr>
          <w:b/>
          <w:lang w:eastAsia="et-EE"/>
        </w:rPr>
      </w:pPr>
    </w:p>
    <w:p w14:paraId="6EECDC45" w14:textId="77777777" w:rsidR="00F10C57" w:rsidRDefault="00F10C57" w:rsidP="00605BE6">
      <w:pPr>
        <w:jc w:val="both"/>
        <w:rPr>
          <w:rFonts w:eastAsia="Arial Unicode MS"/>
        </w:rPr>
      </w:pPr>
      <w:r w:rsidRPr="002E6552">
        <w:rPr>
          <w:rFonts w:eastAsia="Arial Unicode MS"/>
        </w:rPr>
        <w:t>Peatükis</w:t>
      </w:r>
      <w:r w:rsidR="00AC1E20" w:rsidRPr="002E6552">
        <w:rPr>
          <w:rFonts w:eastAsia="Arial Unicode MS"/>
        </w:rPr>
        <w:t xml:space="preserve"> kirjeldatak</w:t>
      </w:r>
      <w:r w:rsidR="00303421">
        <w:rPr>
          <w:rFonts w:eastAsia="Arial Unicode MS"/>
        </w:rPr>
        <w:t xml:space="preserve">se </w:t>
      </w:r>
      <w:r w:rsidR="00AC1E20" w:rsidRPr="002E6552">
        <w:rPr>
          <w:rFonts w:eastAsia="Arial Unicode MS"/>
        </w:rPr>
        <w:t>taotluste menetlemise protsessi ning</w:t>
      </w:r>
      <w:r w:rsidRPr="002E6552">
        <w:rPr>
          <w:rFonts w:eastAsia="Arial Unicode MS"/>
        </w:rPr>
        <w:t xml:space="preserve"> </w:t>
      </w:r>
      <w:r w:rsidR="00AC1E20" w:rsidRPr="002E6552">
        <w:rPr>
          <w:rFonts w:eastAsia="Arial Unicode MS"/>
        </w:rPr>
        <w:t xml:space="preserve">taotluste hindamiskriteeriume ja </w:t>
      </w:r>
      <w:r w:rsidRPr="002E6552">
        <w:rPr>
          <w:rFonts w:eastAsia="Arial Unicode MS"/>
        </w:rPr>
        <w:t>hindamise kord</w:t>
      </w:r>
      <w:r w:rsidR="00AC1E20" w:rsidRPr="002E6552">
        <w:rPr>
          <w:rFonts w:eastAsia="Arial Unicode MS"/>
        </w:rPr>
        <w:t>a</w:t>
      </w:r>
      <w:r w:rsidRPr="002E6552">
        <w:rPr>
          <w:rFonts w:eastAsia="Arial Unicode MS"/>
        </w:rPr>
        <w:t>.</w:t>
      </w:r>
    </w:p>
    <w:p w14:paraId="16F9F6A8" w14:textId="77777777" w:rsidR="00F753BF" w:rsidRPr="002E6552" w:rsidRDefault="00F753BF" w:rsidP="00605BE6">
      <w:pPr>
        <w:jc w:val="both"/>
        <w:rPr>
          <w:lang w:eastAsia="et-EE"/>
        </w:rPr>
      </w:pPr>
    </w:p>
    <w:p w14:paraId="0FCB3A95" w14:textId="77777777" w:rsidR="001E5659" w:rsidRDefault="00303421" w:rsidP="00605BE6">
      <w:pPr>
        <w:jc w:val="both"/>
        <w:rPr>
          <w:lang w:eastAsia="et-EE"/>
        </w:rPr>
      </w:pPr>
      <w:r>
        <w:rPr>
          <w:u w:val="single"/>
          <w:lang w:eastAsia="et-EE"/>
        </w:rPr>
        <w:t>Eelnõu §</w:t>
      </w:r>
      <w:r w:rsidR="008F33F1">
        <w:rPr>
          <w:u w:val="single"/>
          <w:lang w:eastAsia="et-EE"/>
        </w:rPr>
        <w:t>-d</w:t>
      </w:r>
      <w:r>
        <w:rPr>
          <w:u w:val="single"/>
          <w:lang w:eastAsia="et-EE"/>
        </w:rPr>
        <w:t xml:space="preserve"> 15</w:t>
      </w:r>
      <w:r w:rsidR="008F33F1">
        <w:rPr>
          <w:u w:val="single"/>
          <w:lang w:eastAsia="et-EE"/>
        </w:rPr>
        <w:t>, 16 ja 17</w:t>
      </w:r>
      <w:r w:rsidR="008F33F1">
        <w:rPr>
          <w:lang w:eastAsia="et-EE"/>
        </w:rPr>
        <w:t xml:space="preserve"> kirjeldavad</w:t>
      </w:r>
      <w:r>
        <w:rPr>
          <w:lang w:eastAsia="et-EE"/>
        </w:rPr>
        <w:t xml:space="preserve"> </w:t>
      </w:r>
      <w:r w:rsidR="001613BF" w:rsidRPr="002E6552">
        <w:rPr>
          <w:lang w:eastAsia="et-EE"/>
        </w:rPr>
        <w:t>taotluse menetlemisprotseduure</w:t>
      </w:r>
      <w:r>
        <w:rPr>
          <w:lang w:eastAsia="et-EE"/>
        </w:rPr>
        <w:t>.</w:t>
      </w:r>
      <w:r w:rsidR="000D389E">
        <w:rPr>
          <w:lang w:eastAsia="et-EE"/>
        </w:rPr>
        <w:t xml:space="preserve"> </w:t>
      </w:r>
    </w:p>
    <w:p w14:paraId="02930ED2" w14:textId="77777777" w:rsidR="00303421" w:rsidRPr="002E6552" w:rsidRDefault="00303421" w:rsidP="00605BE6">
      <w:pPr>
        <w:jc w:val="both"/>
        <w:rPr>
          <w:lang w:eastAsia="et-EE"/>
        </w:rPr>
      </w:pPr>
    </w:p>
    <w:p w14:paraId="5EAC339A" w14:textId="50BE5776" w:rsidR="001613BF" w:rsidRPr="002E6552" w:rsidRDefault="00303421" w:rsidP="00D75E47">
      <w:pPr>
        <w:jc w:val="both"/>
        <w:rPr>
          <w:lang w:eastAsia="et-EE"/>
        </w:rPr>
      </w:pPr>
      <w:r w:rsidRPr="00303421">
        <w:rPr>
          <w:lang w:eastAsia="et-EE"/>
        </w:rPr>
        <w:t>Taotluse menetlemine koosneb selle registreerimisest, taotluse menetlusse võtmisest või vastu võtmata jätmisest, selgituste ja lisateabe küsimisest, taotleja ja taotluse nõuetele vastavuse kontrollist, nõuetele vastavate taotluste projektide hindamisest, hinnangu andmisest riigiabi reeglitega kokkusobivuse osas, taotluse rahuldamisest või mitterahuldamisest, taotluse osalisest või kõrvaltingimusega rahuldamisest ning taotluse rahuldamise otsuse muutmisest või</w:t>
      </w:r>
      <w:r w:rsidR="00A44C02">
        <w:rPr>
          <w:lang w:eastAsia="et-EE"/>
        </w:rPr>
        <w:t xml:space="preserve"> </w:t>
      </w:r>
      <w:r w:rsidRPr="00303421">
        <w:rPr>
          <w:lang w:eastAsia="et-EE"/>
        </w:rPr>
        <w:t>kehtetuks tunnistamisest.</w:t>
      </w:r>
    </w:p>
    <w:p w14:paraId="0F448653" w14:textId="77777777" w:rsidR="001613BF" w:rsidRPr="002E6552" w:rsidRDefault="001613BF" w:rsidP="007A463C">
      <w:pPr>
        <w:jc w:val="both"/>
        <w:rPr>
          <w:lang w:eastAsia="et-EE"/>
        </w:rPr>
      </w:pPr>
    </w:p>
    <w:p w14:paraId="52E1CD6E" w14:textId="77777777" w:rsidR="001613BF" w:rsidRPr="002E6552" w:rsidRDefault="00303421" w:rsidP="007A463C">
      <w:pPr>
        <w:jc w:val="both"/>
        <w:rPr>
          <w:lang w:eastAsia="et-EE"/>
        </w:rPr>
      </w:pPr>
      <w:r>
        <w:rPr>
          <w:lang w:eastAsia="et-EE"/>
        </w:rPr>
        <w:t>T</w:t>
      </w:r>
      <w:r w:rsidR="002F3C87" w:rsidRPr="002E6552">
        <w:rPr>
          <w:lang w:eastAsia="et-EE"/>
        </w:rPr>
        <w:t>aotluse menetlemise</w:t>
      </w:r>
      <w:r w:rsidR="00775EC3">
        <w:rPr>
          <w:lang w:eastAsia="et-EE"/>
        </w:rPr>
        <w:t xml:space="preserve"> </w:t>
      </w:r>
      <w:r>
        <w:rPr>
          <w:lang w:eastAsia="et-EE"/>
        </w:rPr>
        <w:t>tähtaeg on 30</w:t>
      </w:r>
      <w:r w:rsidR="002F3C87" w:rsidRPr="002E6552">
        <w:rPr>
          <w:lang w:eastAsia="et-EE"/>
        </w:rPr>
        <w:t xml:space="preserve"> tööpäeva alates</w:t>
      </w:r>
      <w:r w:rsidR="00775EC3">
        <w:rPr>
          <w:lang w:eastAsia="et-EE"/>
        </w:rPr>
        <w:t xml:space="preserve"> </w:t>
      </w:r>
      <w:r w:rsidR="00752841">
        <w:rPr>
          <w:lang w:eastAsia="et-EE"/>
        </w:rPr>
        <w:t>t</w:t>
      </w:r>
      <w:r w:rsidR="00775EC3" w:rsidRPr="002E6552">
        <w:rPr>
          <w:lang w:eastAsia="et-EE"/>
        </w:rPr>
        <w:t>aotluse</w:t>
      </w:r>
      <w:r w:rsidR="002F3C87" w:rsidRPr="002E6552">
        <w:rPr>
          <w:lang w:eastAsia="et-EE"/>
        </w:rPr>
        <w:t xml:space="preserve"> rakendusüksuses registreerimisest. Põhjendatud juhtudel võib rakendusüksuse seda tähtaega 10 tööpäeva võrra pikendada.</w:t>
      </w:r>
    </w:p>
    <w:p w14:paraId="3B92E667" w14:textId="77777777" w:rsidR="002F3C87" w:rsidRPr="002E6552" w:rsidRDefault="002F3C87" w:rsidP="007A463C">
      <w:pPr>
        <w:jc w:val="both"/>
        <w:rPr>
          <w:lang w:eastAsia="et-EE"/>
        </w:rPr>
      </w:pPr>
    </w:p>
    <w:p w14:paraId="0D9DD769" w14:textId="6A173804" w:rsidR="002F3C87" w:rsidRPr="002E6552" w:rsidRDefault="000624D1" w:rsidP="007A463C">
      <w:pPr>
        <w:jc w:val="both"/>
        <w:rPr>
          <w:lang w:eastAsia="et-EE"/>
        </w:rPr>
      </w:pPr>
      <w:r>
        <w:rPr>
          <w:lang w:eastAsia="et-EE"/>
        </w:rPr>
        <w:lastRenderedPageBreak/>
        <w:t>E</w:t>
      </w:r>
      <w:r w:rsidR="002F3C87" w:rsidRPr="002E6552">
        <w:rPr>
          <w:lang w:eastAsia="et-EE"/>
        </w:rPr>
        <w:t xml:space="preserve">elnõu paragrahvides </w:t>
      </w:r>
      <w:r w:rsidR="001330E8" w:rsidRPr="002E6552">
        <w:rPr>
          <w:lang w:eastAsia="et-EE"/>
        </w:rPr>
        <w:t xml:space="preserve">sätestatakse </w:t>
      </w:r>
      <w:r w:rsidR="00A03036" w:rsidRPr="002E6552">
        <w:rPr>
          <w:lang w:eastAsia="et-EE"/>
        </w:rPr>
        <w:t>taotluse menetlusprotsessi käigus rakendusüksuse poolt läbiviidavad tegevused ja tähtajad ning nendega kaasnevad tingimused, näiteks tähtaegade pikendamisel.</w:t>
      </w:r>
    </w:p>
    <w:p w14:paraId="7B5D9063" w14:textId="77777777" w:rsidR="00A03036" w:rsidRPr="002E6552" w:rsidRDefault="00A03036" w:rsidP="007A463C">
      <w:pPr>
        <w:jc w:val="both"/>
        <w:rPr>
          <w:lang w:eastAsia="et-EE"/>
        </w:rPr>
      </w:pPr>
    </w:p>
    <w:p w14:paraId="4F791D7A" w14:textId="77777777" w:rsidR="00A03036" w:rsidRPr="002E6552" w:rsidRDefault="008F33F1" w:rsidP="007A463C">
      <w:pPr>
        <w:jc w:val="both"/>
        <w:rPr>
          <w:lang w:eastAsia="et-EE"/>
        </w:rPr>
      </w:pPr>
      <w:r>
        <w:rPr>
          <w:u w:val="single"/>
          <w:lang w:eastAsia="et-EE"/>
        </w:rPr>
        <w:t>Eelnõu § 18</w:t>
      </w:r>
      <w:r w:rsidR="001A5FC7" w:rsidRPr="002E6552">
        <w:rPr>
          <w:lang w:eastAsia="et-EE"/>
        </w:rPr>
        <w:t xml:space="preserve"> </w:t>
      </w:r>
      <w:r>
        <w:rPr>
          <w:lang w:eastAsia="et-EE"/>
        </w:rPr>
        <w:t>sätestab</w:t>
      </w:r>
      <w:r w:rsidR="0019147B" w:rsidRPr="002E6552">
        <w:rPr>
          <w:lang w:eastAsia="et-EE"/>
        </w:rPr>
        <w:t xml:space="preserve"> </w:t>
      </w:r>
      <w:r w:rsidR="001A5FC7" w:rsidRPr="002E6552">
        <w:rPr>
          <w:lang w:eastAsia="et-EE"/>
        </w:rPr>
        <w:t>taotluse hindamiskriteeriumid ja hindamise korra.</w:t>
      </w:r>
    </w:p>
    <w:p w14:paraId="746CA05E" w14:textId="77777777" w:rsidR="001A5FC7" w:rsidRPr="002E6552" w:rsidRDefault="001A5FC7" w:rsidP="007A463C">
      <w:pPr>
        <w:jc w:val="both"/>
        <w:rPr>
          <w:lang w:eastAsia="et-EE"/>
        </w:rPr>
      </w:pPr>
    </w:p>
    <w:p w14:paraId="06512831" w14:textId="77777777" w:rsidR="0019147B" w:rsidRDefault="0019147B" w:rsidP="007A463C">
      <w:pPr>
        <w:jc w:val="both"/>
        <w:rPr>
          <w:lang w:eastAsia="et-EE"/>
        </w:rPr>
      </w:pPr>
      <w:r w:rsidRPr="002E6552">
        <w:rPr>
          <w:lang w:eastAsia="et-EE"/>
        </w:rPr>
        <w:t xml:space="preserve">Rakendusüksuse poolt nõuetele vastavaks </w:t>
      </w:r>
      <w:r w:rsidR="008F33F1">
        <w:rPr>
          <w:lang w:eastAsia="et-EE"/>
        </w:rPr>
        <w:t>tunnistatud t</w:t>
      </w:r>
      <w:r w:rsidRPr="002E6552">
        <w:rPr>
          <w:lang w:eastAsia="et-EE"/>
        </w:rPr>
        <w:t xml:space="preserve">aotlusi hinnatakse. </w:t>
      </w:r>
    </w:p>
    <w:p w14:paraId="727FA4F5" w14:textId="77777777" w:rsidR="008F33F1" w:rsidRPr="002E6552" w:rsidRDefault="008F33F1" w:rsidP="007A463C">
      <w:pPr>
        <w:jc w:val="both"/>
        <w:rPr>
          <w:lang w:eastAsia="et-EE"/>
        </w:rPr>
      </w:pPr>
    </w:p>
    <w:p w14:paraId="25E83DF2" w14:textId="77777777" w:rsidR="001A5FC7" w:rsidRPr="002E6552" w:rsidRDefault="0019147B" w:rsidP="007A463C">
      <w:pPr>
        <w:jc w:val="both"/>
        <w:rPr>
          <w:lang w:eastAsia="et-EE"/>
        </w:rPr>
      </w:pPr>
      <w:r w:rsidRPr="002E6552">
        <w:rPr>
          <w:lang w:eastAsia="et-EE"/>
        </w:rPr>
        <w:t xml:space="preserve">Rakendusüksusel on õigus moodustada taotluse hindamiseks </w:t>
      </w:r>
      <w:r w:rsidR="000D21C6">
        <w:rPr>
          <w:lang w:eastAsia="et-EE"/>
        </w:rPr>
        <w:t xml:space="preserve">hindamiskomisjone </w:t>
      </w:r>
      <w:r w:rsidRPr="002E6552">
        <w:rPr>
          <w:lang w:eastAsia="et-EE"/>
        </w:rPr>
        <w:t>ning kaasata taotluse hindamiseks täiendavaid valdkondlikke eksperte. Hindamiskomisjonide ja ekspertpaneelide moodustamise ning vastava koosseisu peab rakendusüksus eelnevalt kooskõlastama rakendusasutusega.</w:t>
      </w:r>
    </w:p>
    <w:p w14:paraId="599D38F7" w14:textId="77777777" w:rsidR="00AC1E20" w:rsidRPr="002E6552" w:rsidRDefault="00AC1E20" w:rsidP="007A463C">
      <w:pPr>
        <w:jc w:val="both"/>
        <w:rPr>
          <w:u w:val="single"/>
          <w:lang w:eastAsia="et-EE"/>
        </w:rPr>
      </w:pPr>
    </w:p>
    <w:p w14:paraId="7F9F4394" w14:textId="77777777" w:rsidR="00AC1E20" w:rsidRPr="002E6552" w:rsidRDefault="0019147B" w:rsidP="007A463C">
      <w:pPr>
        <w:jc w:val="both"/>
        <w:rPr>
          <w:lang w:eastAsia="et-EE"/>
        </w:rPr>
      </w:pPr>
      <w:r w:rsidRPr="002E6552">
        <w:rPr>
          <w:lang w:eastAsia="et-EE"/>
        </w:rPr>
        <w:t>Detailne hindamisjuhend</w:t>
      </w:r>
      <w:r w:rsidR="0041452F">
        <w:rPr>
          <w:lang w:eastAsia="et-EE"/>
        </w:rPr>
        <w:t xml:space="preserve"> (hindamismetoodika)</w:t>
      </w:r>
      <w:r w:rsidRPr="002E6552">
        <w:rPr>
          <w:lang w:eastAsia="et-EE"/>
        </w:rPr>
        <w:t xml:space="preserve"> ja hindamiskomisjoni koosseis tehakse kättesaadavaks rakendusüksuse veebilehel.</w:t>
      </w:r>
    </w:p>
    <w:p w14:paraId="1BF07B88" w14:textId="77777777" w:rsidR="0019147B" w:rsidRDefault="0019147B" w:rsidP="007A463C">
      <w:pPr>
        <w:jc w:val="both"/>
        <w:rPr>
          <w:lang w:eastAsia="et-EE"/>
        </w:rPr>
      </w:pPr>
    </w:p>
    <w:p w14:paraId="73BFC022" w14:textId="3C32A3A7" w:rsidR="008714D1" w:rsidRPr="002E6552" w:rsidRDefault="008714D1" w:rsidP="007A463C">
      <w:pPr>
        <w:jc w:val="both"/>
        <w:rPr>
          <w:lang w:eastAsia="et-EE"/>
        </w:rPr>
      </w:pPr>
      <w:r>
        <w:rPr>
          <w:lang w:eastAsia="et-EE"/>
        </w:rPr>
        <w:t>Taotlusi hinnatakse skaalal 0-4. kusjuures taotluste hindamisel antud koondhinne moodustub hindamiskriteeriumite hinnete kaalutud keskmisest.</w:t>
      </w:r>
    </w:p>
    <w:p w14:paraId="1E3ACD3E" w14:textId="77777777" w:rsidR="00D14E9E" w:rsidRPr="002E6552" w:rsidRDefault="00D14E9E" w:rsidP="007A463C">
      <w:pPr>
        <w:jc w:val="both"/>
        <w:rPr>
          <w:lang w:eastAsia="et-EE"/>
        </w:rPr>
      </w:pPr>
    </w:p>
    <w:p w14:paraId="50E084C9" w14:textId="77777777" w:rsidR="00D14E9E" w:rsidRPr="002E6552" w:rsidRDefault="006A4C94" w:rsidP="007A463C">
      <w:pPr>
        <w:jc w:val="both"/>
        <w:rPr>
          <w:lang w:eastAsia="et-EE"/>
        </w:rPr>
      </w:pPr>
      <w:r>
        <w:rPr>
          <w:lang w:eastAsia="et-EE"/>
        </w:rPr>
        <w:t>Tabel 6. H</w:t>
      </w:r>
      <w:r w:rsidR="00443FA6" w:rsidRPr="002E6552">
        <w:rPr>
          <w:lang w:eastAsia="et-EE"/>
        </w:rPr>
        <w:t>indamiskritee</w:t>
      </w:r>
      <w:r w:rsidR="00752841">
        <w:rPr>
          <w:lang w:eastAsia="et-EE"/>
        </w:rPr>
        <w:t xml:space="preserve">riumid ja osakaalud </w:t>
      </w:r>
      <w:r w:rsidR="00443FA6" w:rsidRPr="002E6552">
        <w:rPr>
          <w:lang w:eastAsia="et-EE"/>
        </w:rPr>
        <w:t>taotluste hindamisel.</w:t>
      </w:r>
    </w:p>
    <w:p w14:paraId="5052F4E0" w14:textId="77777777" w:rsidR="00B44C3F" w:rsidRPr="002E6552" w:rsidRDefault="00B44C3F" w:rsidP="007A463C">
      <w:pPr>
        <w:jc w:val="both"/>
        <w:rPr>
          <w:lang w:eastAsia="et-EE"/>
        </w:rPr>
      </w:pPr>
    </w:p>
    <w:tbl>
      <w:tblPr>
        <w:tblStyle w:val="TableGrid"/>
        <w:tblW w:w="0" w:type="auto"/>
        <w:tblLook w:val="04A0" w:firstRow="1" w:lastRow="0" w:firstColumn="1" w:lastColumn="0" w:noHBand="0" w:noVBand="1"/>
      </w:tblPr>
      <w:tblGrid>
        <w:gridCol w:w="4248"/>
        <w:gridCol w:w="4536"/>
      </w:tblGrid>
      <w:tr w:rsidR="008F33F1" w:rsidRPr="002E6552" w14:paraId="1B114198" w14:textId="77777777" w:rsidTr="008F33F1">
        <w:tc>
          <w:tcPr>
            <w:tcW w:w="4248" w:type="dxa"/>
          </w:tcPr>
          <w:p w14:paraId="198917C2" w14:textId="77777777" w:rsidR="008F33F1" w:rsidRPr="002E6552" w:rsidRDefault="008F33F1" w:rsidP="007A463C">
            <w:pPr>
              <w:jc w:val="center"/>
              <w:rPr>
                <w:b/>
              </w:rPr>
            </w:pPr>
            <w:r w:rsidRPr="002E6552">
              <w:rPr>
                <w:b/>
              </w:rPr>
              <w:t>Hindamiskriteerium</w:t>
            </w:r>
          </w:p>
        </w:tc>
        <w:tc>
          <w:tcPr>
            <w:tcW w:w="4536" w:type="dxa"/>
          </w:tcPr>
          <w:p w14:paraId="3B6133E9" w14:textId="77777777" w:rsidR="008F33F1" w:rsidRPr="002E6552" w:rsidRDefault="008F33F1" w:rsidP="007A463C">
            <w:pPr>
              <w:jc w:val="center"/>
              <w:rPr>
                <w:b/>
              </w:rPr>
            </w:pPr>
            <w:r w:rsidRPr="002E6552">
              <w:rPr>
                <w:b/>
              </w:rPr>
              <w:t xml:space="preserve">Osakaal koondhindest </w:t>
            </w:r>
          </w:p>
        </w:tc>
      </w:tr>
      <w:tr w:rsidR="008F33F1" w:rsidRPr="002E6552" w14:paraId="1162D3DD" w14:textId="77777777" w:rsidTr="008F33F1">
        <w:trPr>
          <w:trHeight w:val="1246"/>
        </w:trPr>
        <w:tc>
          <w:tcPr>
            <w:tcW w:w="4248" w:type="dxa"/>
          </w:tcPr>
          <w:p w14:paraId="000E36CB" w14:textId="77777777" w:rsidR="008F33F1" w:rsidRPr="002E6552" w:rsidRDefault="008F33F1" w:rsidP="0057412C">
            <w:pPr>
              <w:pStyle w:val="ListParagraph"/>
              <w:numPr>
                <w:ilvl w:val="0"/>
                <w:numId w:val="21"/>
              </w:numPr>
              <w:spacing w:line="240" w:lineRule="auto"/>
              <w:jc w:val="both"/>
              <w:rPr>
                <w:rFonts w:ascii="Times New Roman" w:hAnsi="Times New Roman"/>
                <w:sz w:val="24"/>
                <w:szCs w:val="24"/>
              </w:rPr>
            </w:pPr>
            <w:r w:rsidRPr="002E6552">
              <w:rPr>
                <w:rFonts w:ascii="Times New Roman" w:hAnsi="Times New Roman"/>
                <w:sz w:val="24"/>
                <w:szCs w:val="24"/>
              </w:rPr>
              <w:t xml:space="preserve">Projekti mõju meetme </w:t>
            </w:r>
            <w:r w:rsidR="003B3581">
              <w:rPr>
                <w:rFonts w:ascii="Times New Roman" w:hAnsi="Times New Roman"/>
                <w:sz w:val="24"/>
                <w:szCs w:val="24"/>
              </w:rPr>
              <w:t xml:space="preserve">ja arenguplaani </w:t>
            </w:r>
            <w:r w:rsidRPr="002E6552">
              <w:rPr>
                <w:rFonts w:ascii="Times New Roman" w:hAnsi="Times New Roman"/>
                <w:sz w:val="24"/>
                <w:szCs w:val="24"/>
              </w:rPr>
              <w:t>eesmärkide saavutamisele</w:t>
            </w:r>
          </w:p>
        </w:tc>
        <w:tc>
          <w:tcPr>
            <w:tcW w:w="4536" w:type="dxa"/>
          </w:tcPr>
          <w:p w14:paraId="3C58C3AB" w14:textId="77777777" w:rsidR="008F33F1" w:rsidRPr="002E6552" w:rsidRDefault="008F33F1" w:rsidP="0057412C">
            <w:pPr>
              <w:jc w:val="center"/>
              <w:rPr>
                <w:b/>
              </w:rPr>
            </w:pPr>
          </w:p>
          <w:p w14:paraId="34573A42" w14:textId="77777777" w:rsidR="008F33F1" w:rsidRPr="002E6552" w:rsidRDefault="000D21C6" w:rsidP="0057412C">
            <w:pPr>
              <w:jc w:val="center"/>
              <w:rPr>
                <w:b/>
              </w:rPr>
            </w:pPr>
            <w:r>
              <w:rPr>
                <w:b/>
              </w:rPr>
              <w:t>35</w:t>
            </w:r>
            <w:r w:rsidR="008F33F1" w:rsidRPr="002E6552">
              <w:rPr>
                <w:b/>
              </w:rPr>
              <w:t xml:space="preserve">% </w:t>
            </w:r>
          </w:p>
        </w:tc>
      </w:tr>
      <w:tr w:rsidR="008F33F1" w:rsidRPr="002E6552" w14:paraId="26D27DA2" w14:textId="77777777" w:rsidTr="008F33F1">
        <w:tc>
          <w:tcPr>
            <w:tcW w:w="4248" w:type="dxa"/>
          </w:tcPr>
          <w:p w14:paraId="17668F9E" w14:textId="77777777" w:rsidR="008F33F1" w:rsidRPr="002E6552" w:rsidRDefault="008F33F1" w:rsidP="0057412C">
            <w:pPr>
              <w:pStyle w:val="ListParagraph"/>
              <w:numPr>
                <w:ilvl w:val="0"/>
                <w:numId w:val="21"/>
              </w:numPr>
              <w:spacing w:line="240" w:lineRule="auto"/>
              <w:jc w:val="both"/>
              <w:rPr>
                <w:rFonts w:ascii="Times New Roman" w:hAnsi="Times New Roman"/>
                <w:sz w:val="24"/>
                <w:szCs w:val="24"/>
              </w:rPr>
            </w:pPr>
            <w:r w:rsidRPr="002E6552">
              <w:rPr>
                <w:rFonts w:ascii="Times New Roman" w:hAnsi="Times New Roman"/>
                <w:sz w:val="24"/>
                <w:szCs w:val="24"/>
              </w:rPr>
              <w:t>Projekti põhjendatus</w:t>
            </w:r>
          </w:p>
        </w:tc>
        <w:tc>
          <w:tcPr>
            <w:tcW w:w="4536" w:type="dxa"/>
          </w:tcPr>
          <w:p w14:paraId="54A05B11" w14:textId="2FF23071" w:rsidR="008F33F1" w:rsidRPr="002E6552" w:rsidRDefault="0057412C" w:rsidP="0057412C">
            <w:pPr>
              <w:jc w:val="center"/>
              <w:rPr>
                <w:b/>
              </w:rPr>
            </w:pPr>
            <w:r>
              <w:rPr>
                <w:b/>
              </w:rPr>
              <w:t>20</w:t>
            </w:r>
            <w:r w:rsidR="008F33F1" w:rsidRPr="002E6552">
              <w:rPr>
                <w:b/>
              </w:rPr>
              <w:t>%</w:t>
            </w:r>
          </w:p>
        </w:tc>
      </w:tr>
      <w:tr w:rsidR="008F33F1" w:rsidRPr="002E6552" w14:paraId="7BFB3265" w14:textId="77777777" w:rsidTr="008F33F1">
        <w:tc>
          <w:tcPr>
            <w:tcW w:w="4248" w:type="dxa"/>
          </w:tcPr>
          <w:p w14:paraId="742A7D40" w14:textId="77777777" w:rsidR="008F33F1" w:rsidRPr="002E6552" w:rsidRDefault="008F33F1" w:rsidP="0057412C">
            <w:pPr>
              <w:pStyle w:val="ListParagraph"/>
              <w:numPr>
                <w:ilvl w:val="0"/>
                <w:numId w:val="21"/>
              </w:numPr>
              <w:spacing w:line="240" w:lineRule="auto"/>
              <w:jc w:val="both"/>
              <w:rPr>
                <w:rFonts w:ascii="Times New Roman" w:hAnsi="Times New Roman"/>
                <w:sz w:val="24"/>
                <w:szCs w:val="24"/>
              </w:rPr>
            </w:pPr>
            <w:r w:rsidRPr="002E6552">
              <w:rPr>
                <w:rFonts w:ascii="Times New Roman" w:hAnsi="Times New Roman"/>
                <w:sz w:val="24"/>
                <w:szCs w:val="24"/>
              </w:rPr>
              <w:t>Projekti kuluefektiivsus</w:t>
            </w:r>
          </w:p>
        </w:tc>
        <w:tc>
          <w:tcPr>
            <w:tcW w:w="4536" w:type="dxa"/>
          </w:tcPr>
          <w:p w14:paraId="1D13F271" w14:textId="77777777" w:rsidR="008F33F1" w:rsidRPr="002E6552" w:rsidRDefault="008F33F1" w:rsidP="0057412C">
            <w:pPr>
              <w:jc w:val="center"/>
              <w:rPr>
                <w:b/>
              </w:rPr>
            </w:pPr>
          </w:p>
          <w:p w14:paraId="2148AC00" w14:textId="77777777" w:rsidR="008F33F1" w:rsidRPr="002E6552" w:rsidRDefault="008F33F1" w:rsidP="0057412C">
            <w:pPr>
              <w:jc w:val="center"/>
              <w:rPr>
                <w:b/>
              </w:rPr>
            </w:pPr>
            <w:r w:rsidRPr="002E6552">
              <w:rPr>
                <w:b/>
              </w:rPr>
              <w:t>15%</w:t>
            </w:r>
          </w:p>
        </w:tc>
      </w:tr>
      <w:tr w:rsidR="008F33F1" w:rsidRPr="002E6552" w14:paraId="758A4073" w14:textId="77777777" w:rsidTr="008F33F1">
        <w:tc>
          <w:tcPr>
            <w:tcW w:w="4248" w:type="dxa"/>
          </w:tcPr>
          <w:p w14:paraId="6EC947F2" w14:textId="77777777" w:rsidR="008F33F1" w:rsidRPr="002E6552" w:rsidRDefault="008F33F1" w:rsidP="0057412C">
            <w:pPr>
              <w:pStyle w:val="ListParagraph"/>
              <w:numPr>
                <w:ilvl w:val="0"/>
                <w:numId w:val="21"/>
              </w:numPr>
              <w:spacing w:line="240" w:lineRule="auto"/>
              <w:jc w:val="both"/>
              <w:rPr>
                <w:rFonts w:ascii="Times New Roman" w:hAnsi="Times New Roman"/>
                <w:sz w:val="24"/>
                <w:szCs w:val="24"/>
              </w:rPr>
            </w:pPr>
            <w:r w:rsidRPr="002E6552">
              <w:rPr>
                <w:rFonts w:ascii="Times New Roman" w:hAnsi="Times New Roman"/>
                <w:sz w:val="24"/>
                <w:szCs w:val="24"/>
              </w:rPr>
              <w:t xml:space="preserve">Taotleja võimekus projekti ellu viia </w:t>
            </w:r>
          </w:p>
        </w:tc>
        <w:tc>
          <w:tcPr>
            <w:tcW w:w="4536" w:type="dxa"/>
          </w:tcPr>
          <w:p w14:paraId="3ADA0779" w14:textId="77777777" w:rsidR="008F33F1" w:rsidRPr="002E6552" w:rsidRDefault="008F33F1" w:rsidP="0057412C">
            <w:pPr>
              <w:jc w:val="center"/>
              <w:rPr>
                <w:b/>
              </w:rPr>
            </w:pPr>
          </w:p>
          <w:p w14:paraId="595D90D6" w14:textId="02A4C06D" w:rsidR="008F33F1" w:rsidRPr="002E6552" w:rsidRDefault="0057412C" w:rsidP="0057412C">
            <w:pPr>
              <w:jc w:val="center"/>
              <w:rPr>
                <w:b/>
              </w:rPr>
            </w:pPr>
            <w:r>
              <w:rPr>
                <w:b/>
              </w:rPr>
              <w:t>30</w:t>
            </w:r>
            <w:r w:rsidR="008F33F1" w:rsidRPr="002E6552">
              <w:rPr>
                <w:b/>
              </w:rPr>
              <w:t>%</w:t>
            </w:r>
          </w:p>
        </w:tc>
      </w:tr>
    </w:tbl>
    <w:p w14:paraId="53D76C65" w14:textId="77777777" w:rsidR="008714D1" w:rsidRDefault="008714D1" w:rsidP="0057412C">
      <w:pPr>
        <w:jc w:val="both"/>
        <w:rPr>
          <w:u w:val="single"/>
          <w:lang w:eastAsia="et-EE"/>
        </w:rPr>
      </w:pPr>
    </w:p>
    <w:p w14:paraId="0A6638D5" w14:textId="77777777" w:rsidR="003A1502" w:rsidRDefault="00412EDB" w:rsidP="0057412C">
      <w:pPr>
        <w:jc w:val="both"/>
        <w:rPr>
          <w:u w:val="single"/>
          <w:lang w:eastAsia="et-EE"/>
        </w:rPr>
      </w:pPr>
      <w:r w:rsidRPr="00412EDB">
        <w:rPr>
          <w:u w:val="single"/>
          <w:lang w:eastAsia="et-EE"/>
        </w:rPr>
        <w:t xml:space="preserve">Projekti mõju meetme </w:t>
      </w:r>
      <w:r w:rsidR="003B3581">
        <w:rPr>
          <w:u w:val="single"/>
          <w:lang w:eastAsia="et-EE"/>
        </w:rPr>
        <w:t>ja arenguplaani eesmärkide saavutamisele</w:t>
      </w:r>
      <w:r w:rsidRPr="00412EDB">
        <w:rPr>
          <w:u w:val="single"/>
          <w:lang w:eastAsia="et-EE"/>
        </w:rPr>
        <w:t>.</w:t>
      </w:r>
    </w:p>
    <w:p w14:paraId="0E9F0A90" w14:textId="55AECFC7" w:rsidR="00E12EB9" w:rsidRDefault="00E12EB9" w:rsidP="0057412C">
      <w:pPr>
        <w:jc w:val="both"/>
        <w:rPr>
          <w:lang w:eastAsia="et-EE"/>
        </w:rPr>
      </w:pPr>
      <w:r>
        <w:rPr>
          <w:lang w:eastAsia="et-EE"/>
        </w:rPr>
        <w:t>Nimetatud</w:t>
      </w:r>
      <w:r w:rsidR="003B4B91">
        <w:rPr>
          <w:lang w:eastAsia="et-EE"/>
        </w:rPr>
        <w:t xml:space="preserve"> hindamiskriteeriumi raames</w:t>
      </w:r>
      <w:r>
        <w:rPr>
          <w:lang w:eastAsia="et-EE"/>
        </w:rPr>
        <w:t xml:space="preserve"> hinnatakse muu hulgas arenguplaani alusel ettevõtte tänastes tegevustes ja ärimudelis tehtavate muudatuste ulatust ja keerukust, </w:t>
      </w:r>
      <w:r w:rsidR="00F022E7">
        <w:rPr>
          <w:lang w:eastAsia="et-EE"/>
        </w:rPr>
        <w:t xml:space="preserve">arenguplaani eeldavat mõju ettevõtja tulevastele majandustulemustele, </w:t>
      </w:r>
      <w:r w:rsidR="003B4B91">
        <w:rPr>
          <w:lang w:eastAsia="et-EE"/>
        </w:rPr>
        <w:t>kas ja kuidas on projek</w:t>
      </w:r>
      <w:r w:rsidR="001B1696">
        <w:rPr>
          <w:lang w:eastAsia="et-EE"/>
        </w:rPr>
        <w:t>t</w:t>
      </w:r>
      <w:r w:rsidR="003B4B91">
        <w:rPr>
          <w:lang w:eastAsia="et-EE"/>
        </w:rPr>
        <w:t xml:space="preserve"> suunatud </w:t>
      </w:r>
      <w:r w:rsidR="003B4B91" w:rsidRPr="003B4B91">
        <w:rPr>
          <w:lang w:eastAsia="et-EE"/>
        </w:rPr>
        <w:t>rakenduskava eesmärgi</w:t>
      </w:r>
      <w:r w:rsidR="00A44C02">
        <w:rPr>
          <w:lang w:eastAsia="et-EE"/>
        </w:rPr>
        <w:t xml:space="preserve"> „</w:t>
      </w:r>
      <w:r w:rsidR="003B4B91" w:rsidRPr="003B4B91">
        <w:rPr>
          <w:lang w:eastAsia="et-EE"/>
        </w:rPr>
        <w:t>Eesti ettevõtted pakuvad uuenduslikke kõrge lisandväärtusega tooteid ja teenuseid</w:t>
      </w:r>
      <w:r w:rsidR="00A44C02">
        <w:rPr>
          <w:lang w:eastAsia="et-EE"/>
        </w:rPr>
        <w:t>“</w:t>
      </w:r>
      <w:r w:rsidR="003B4B91" w:rsidRPr="003B4B91">
        <w:rPr>
          <w:lang w:eastAsia="et-EE"/>
        </w:rPr>
        <w:t xml:space="preserve"> täitmisele</w:t>
      </w:r>
      <w:r w:rsidR="003B4B91">
        <w:rPr>
          <w:lang w:eastAsia="et-EE"/>
        </w:rPr>
        <w:t>.</w:t>
      </w:r>
      <w:r w:rsidR="003B4B91" w:rsidRPr="003B4B91">
        <w:rPr>
          <w:lang w:eastAsia="et-EE"/>
        </w:rPr>
        <w:t xml:space="preserve"> </w:t>
      </w:r>
    </w:p>
    <w:p w14:paraId="0664FF39" w14:textId="77777777" w:rsidR="00F022E7" w:rsidRDefault="00F022E7" w:rsidP="0057412C">
      <w:pPr>
        <w:jc w:val="both"/>
        <w:rPr>
          <w:lang w:eastAsia="et-EE"/>
        </w:rPr>
      </w:pPr>
    </w:p>
    <w:p w14:paraId="6B9FD711" w14:textId="77777777" w:rsidR="00F022E7" w:rsidRDefault="00F022E7" w:rsidP="0057412C">
      <w:pPr>
        <w:jc w:val="both"/>
        <w:rPr>
          <w:lang w:eastAsia="et-EE"/>
        </w:rPr>
      </w:pPr>
      <w:r w:rsidRPr="00F022E7">
        <w:rPr>
          <w:u w:val="single"/>
          <w:lang w:eastAsia="et-EE"/>
        </w:rPr>
        <w:t>Projekti põhjendatus</w:t>
      </w:r>
      <w:r>
        <w:rPr>
          <w:u w:val="single"/>
          <w:lang w:eastAsia="et-EE"/>
        </w:rPr>
        <w:t>.</w:t>
      </w:r>
      <w:r w:rsidRPr="00F022E7">
        <w:rPr>
          <w:lang w:eastAsia="et-EE"/>
        </w:rPr>
        <w:t xml:space="preserve"> </w:t>
      </w:r>
    </w:p>
    <w:p w14:paraId="6E0A8B34" w14:textId="0576C615" w:rsidR="00F022E7" w:rsidRDefault="000624D1" w:rsidP="0057412C">
      <w:pPr>
        <w:jc w:val="both"/>
        <w:rPr>
          <w:lang w:eastAsia="et-EE"/>
        </w:rPr>
      </w:pPr>
      <w:r>
        <w:rPr>
          <w:lang w:eastAsia="et-EE"/>
        </w:rPr>
        <w:t xml:space="preserve">Selle </w:t>
      </w:r>
      <w:r w:rsidR="003B4B91">
        <w:rPr>
          <w:lang w:eastAsia="et-EE"/>
        </w:rPr>
        <w:t>hindamiskriteeriumi raames h</w:t>
      </w:r>
      <w:r w:rsidR="00F022E7">
        <w:rPr>
          <w:lang w:eastAsia="et-EE"/>
        </w:rPr>
        <w:t>innatakse muu hulgas projekti kooskõla ja panust ettevõtja arenguplaani elluviimisesse, projektis läbi viidavate üksiktegevuste põhjendatust ja kooskõla</w:t>
      </w:r>
      <w:r w:rsidR="003B4B91">
        <w:rPr>
          <w:lang w:eastAsia="et-EE"/>
        </w:rPr>
        <w:t>. Projekti tegevuste ja eesmärkide määratlust ja selgust.</w:t>
      </w:r>
    </w:p>
    <w:p w14:paraId="258B369D" w14:textId="77777777" w:rsidR="00F022E7" w:rsidRDefault="00F022E7" w:rsidP="0057412C">
      <w:pPr>
        <w:jc w:val="both"/>
        <w:rPr>
          <w:u w:val="single"/>
          <w:lang w:eastAsia="et-EE"/>
        </w:rPr>
      </w:pPr>
    </w:p>
    <w:p w14:paraId="68BAEE17" w14:textId="77777777" w:rsidR="003B4B91" w:rsidRDefault="003B4B91" w:rsidP="0057412C">
      <w:pPr>
        <w:jc w:val="both"/>
        <w:rPr>
          <w:u w:val="single"/>
          <w:lang w:eastAsia="et-EE"/>
        </w:rPr>
      </w:pPr>
      <w:r w:rsidRPr="003B4B91">
        <w:rPr>
          <w:u w:val="single"/>
          <w:lang w:eastAsia="et-EE"/>
        </w:rPr>
        <w:t>Projekti kuluefektiivsus</w:t>
      </w:r>
      <w:r>
        <w:rPr>
          <w:u w:val="single"/>
          <w:lang w:eastAsia="et-EE"/>
        </w:rPr>
        <w:t>.</w:t>
      </w:r>
    </w:p>
    <w:p w14:paraId="664CC604" w14:textId="38E56D20" w:rsidR="003B4B91" w:rsidRPr="003B4B91" w:rsidRDefault="003B4B91" w:rsidP="0057412C">
      <w:pPr>
        <w:jc w:val="both"/>
        <w:rPr>
          <w:lang w:eastAsia="et-EE"/>
        </w:rPr>
      </w:pPr>
      <w:r>
        <w:rPr>
          <w:lang w:eastAsia="et-EE"/>
        </w:rPr>
        <w:t xml:space="preserve">Hindamiskriteeriumi </w:t>
      </w:r>
      <w:r w:rsidRPr="003B4B91">
        <w:rPr>
          <w:lang w:eastAsia="et-EE"/>
        </w:rPr>
        <w:t>raames hinnatakse muu hulgas, kas ettenähtud tegevused ja lahendused on piisavalt kuluefektiiv</w:t>
      </w:r>
      <w:r w:rsidR="00A44C02">
        <w:rPr>
          <w:lang w:eastAsia="et-EE"/>
        </w:rPr>
        <w:t>s</w:t>
      </w:r>
      <w:r w:rsidRPr="003B4B91">
        <w:rPr>
          <w:lang w:eastAsia="et-EE"/>
        </w:rPr>
        <w:t>e</w:t>
      </w:r>
      <w:r w:rsidR="00A44C02">
        <w:rPr>
          <w:lang w:eastAsia="et-EE"/>
        </w:rPr>
        <w:t>d</w:t>
      </w:r>
      <w:r w:rsidRPr="003B4B91">
        <w:rPr>
          <w:lang w:eastAsia="et-EE"/>
        </w:rPr>
        <w:t xml:space="preserve"> planeeritud väljundite ja tulemuste saavutamiseks; kas pla</w:t>
      </w:r>
      <w:r>
        <w:rPr>
          <w:lang w:eastAsia="et-EE"/>
        </w:rPr>
        <w:t>neeritud eelarve on  realistlik.</w:t>
      </w:r>
    </w:p>
    <w:p w14:paraId="2A55633E" w14:textId="77777777" w:rsidR="003B4B91" w:rsidRPr="003B4B91" w:rsidRDefault="003B4B91" w:rsidP="0057412C">
      <w:pPr>
        <w:jc w:val="both"/>
        <w:rPr>
          <w:lang w:eastAsia="et-EE"/>
        </w:rPr>
      </w:pPr>
    </w:p>
    <w:p w14:paraId="28CD088F" w14:textId="77777777" w:rsidR="003B4B91" w:rsidRDefault="00000BBB" w:rsidP="0057412C">
      <w:pPr>
        <w:jc w:val="both"/>
        <w:rPr>
          <w:u w:val="single"/>
          <w:lang w:eastAsia="et-EE"/>
        </w:rPr>
      </w:pPr>
      <w:r w:rsidRPr="00000BBB">
        <w:rPr>
          <w:u w:val="single"/>
          <w:lang w:eastAsia="et-EE"/>
        </w:rPr>
        <w:t>Taotleja võimekus projekti ellu viia</w:t>
      </w:r>
      <w:r>
        <w:rPr>
          <w:u w:val="single"/>
          <w:lang w:eastAsia="et-EE"/>
        </w:rPr>
        <w:t>.</w:t>
      </w:r>
    </w:p>
    <w:p w14:paraId="5CCE10EB" w14:textId="3899B4C0" w:rsidR="00412EDB" w:rsidRDefault="000624D1" w:rsidP="0057412C">
      <w:pPr>
        <w:jc w:val="both"/>
        <w:rPr>
          <w:lang w:eastAsia="et-EE"/>
        </w:rPr>
      </w:pPr>
      <w:r>
        <w:rPr>
          <w:lang w:eastAsia="et-EE"/>
        </w:rPr>
        <w:t xml:space="preserve">Selle </w:t>
      </w:r>
      <w:r w:rsidR="00825B4F">
        <w:rPr>
          <w:lang w:eastAsia="et-EE"/>
        </w:rPr>
        <w:t xml:space="preserve">hindamiskriteeriumi raames hinnatakse muu hulgas, </w:t>
      </w:r>
      <w:r w:rsidR="00825B4F" w:rsidRPr="00825B4F">
        <w:rPr>
          <w:lang w:eastAsia="et-EE"/>
        </w:rPr>
        <w:t xml:space="preserve">kas toetuse taotlejal </w:t>
      </w:r>
      <w:r w:rsidR="00825B4F">
        <w:rPr>
          <w:lang w:eastAsia="et-EE"/>
        </w:rPr>
        <w:t xml:space="preserve"> </w:t>
      </w:r>
      <w:r w:rsidR="00825B4F" w:rsidRPr="00825B4F">
        <w:rPr>
          <w:lang w:eastAsia="et-EE"/>
        </w:rPr>
        <w:t>on olemas jätkusuutlikkus ja vajaminevad teadmised, oskused, kogemus ning õiguslikud, organisatsioonilised ja tehnika- ning tehnoloogiaalased eeldused projekti kavandatud viisil elluviimiseks.</w:t>
      </w:r>
      <w:r w:rsidR="00825B4F">
        <w:rPr>
          <w:lang w:eastAsia="et-EE"/>
        </w:rPr>
        <w:t xml:space="preserve"> Taotleja võimekust kaas</w:t>
      </w:r>
      <w:r w:rsidR="00A44C02">
        <w:rPr>
          <w:lang w:eastAsia="et-EE"/>
        </w:rPr>
        <w:t>a</w:t>
      </w:r>
      <w:r w:rsidR="00825B4F">
        <w:rPr>
          <w:lang w:eastAsia="et-EE"/>
        </w:rPr>
        <w:t>ta projekti elluviimisesse erainve</w:t>
      </w:r>
      <w:r w:rsidR="00A44C02">
        <w:rPr>
          <w:lang w:eastAsia="et-EE"/>
        </w:rPr>
        <w:t>s</w:t>
      </w:r>
      <w:r w:rsidR="00825B4F">
        <w:rPr>
          <w:lang w:eastAsia="et-EE"/>
        </w:rPr>
        <w:t>torite investeeringuid.</w:t>
      </w:r>
    </w:p>
    <w:p w14:paraId="686BDF56" w14:textId="77777777" w:rsidR="00412EDB" w:rsidRDefault="00412EDB" w:rsidP="0057412C">
      <w:pPr>
        <w:jc w:val="both"/>
        <w:rPr>
          <w:lang w:eastAsia="et-EE"/>
        </w:rPr>
      </w:pPr>
    </w:p>
    <w:p w14:paraId="0D63C987" w14:textId="77777777" w:rsidR="00D43362" w:rsidRPr="002E6552" w:rsidRDefault="008714D1" w:rsidP="0057412C">
      <w:pPr>
        <w:jc w:val="both"/>
        <w:rPr>
          <w:lang w:eastAsia="et-EE"/>
        </w:rPr>
      </w:pPr>
      <w:r>
        <w:rPr>
          <w:u w:val="single"/>
          <w:lang w:eastAsia="et-EE"/>
        </w:rPr>
        <w:t>Eelnõu §-ides 19 ja 20</w:t>
      </w:r>
      <w:r>
        <w:rPr>
          <w:lang w:eastAsia="et-EE"/>
        </w:rPr>
        <w:t xml:space="preserve"> nähakse ette </w:t>
      </w:r>
      <w:r w:rsidR="00E4090E" w:rsidRPr="002E6552">
        <w:rPr>
          <w:lang w:eastAsia="et-EE"/>
        </w:rPr>
        <w:t>taotluse rahuldami</w:t>
      </w:r>
      <w:r>
        <w:rPr>
          <w:lang w:eastAsia="et-EE"/>
        </w:rPr>
        <w:t xml:space="preserve">se ja mitterahuldamise ning </w:t>
      </w:r>
      <w:r w:rsidR="00E4090E" w:rsidRPr="002E6552">
        <w:rPr>
          <w:lang w:eastAsia="et-EE"/>
        </w:rPr>
        <w:t>taotluse osalise või kõrvaltingimustega rahuldamise kord.</w:t>
      </w:r>
    </w:p>
    <w:p w14:paraId="4836E701" w14:textId="77777777" w:rsidR="008714D1" w:rsidRDefault="008714D1" w:rsidP="0057412C">
      <w:pPr>
        <w:jc w:val="both"/>
        <w:rPr>
          <w:lang w:eastAsia="et-EE"/>
        </w:rPr>
      </w:pPr>
    </w:p>
    <w:p w14:paraId="7D48FC95" w14:textId="77777777" w:rsidR="008714D1" w:rsidRDefault="008714D1" w:rsidP="0057412C">
      <w:pPr>
        <w:jc w:val="both"/>
        <w:rPr>
          <w:lang w:eastAsia="et-EE"/>
        </w:rPr>
      </w:pPr>
      <w:r>
        <w:rPr>
          <w:lang w:eastAsia="et-EE"/>
        </w:rPr>
        <w:t>Taotluse rahuldamiseks sätestab eelnõu järgmised nõuded:</w:t>
      </w:r>
    </w:p>
    <w:p w14:paraId="740EDD8E" w14:textId="77777777" w:rsidR="008714D1" w:rsidRDefault="008714D1" w:rsidP="0057412C">
      <w:pPr>
        <w:jc w:val="both"/>
        <w:rPr>
          <w:lang w:eastAsia="et-EE"/>
        </w:rPr>
      </w:pPr>
      <w:r>
        <w:rPr>
          <w:lang w:eastAsia="et-EE"/>
        </w:rPr>
        <w:t>1) taotlus on hindamisel saanud koondhindeks vähemalt 2,50;</w:t>
      </w:r>
    </w:p>
    <w:p w14:paraId="7956937C" w14:textId="77777777" w:rsidR="008714D1" w:rsidRDefault="008714D1" w:rsidP="0057412C">
      <w:pPr>
        <w:jc w:val="both"/>
        <w:rPr>
          <w:lang w:eastAsia="et-EE"/>
        </w:rPr>
      </w:pPr>
      <w:r>
        <w:rPr>
          <w:lang w:eastAsia="et-EE"/>
        </w:rPr>
        <w:t xml:space="preserve">2) </w:t>
      </w:r>
      <w:r w:rsidR="00D82F19">
        <w:rPr>
          <w:lang w:eastAsia="et-EE"/>
        </w:rPr>
        <w:t xml:space="preserve">taotlust on igas </w:t>
      </w:r>
      <w:r>
        <w:rPr>
          <w:lang w:eastAsia="et-EE"/>
        </w:rPr>
        <w:t>hindamiskriteeriumi</w:t>
      </w:r>
      <w:r w:rsidR="00D82F19">
        <w:rPr>
          <w:lang w:eastAsia="et-EE"/>
        </w:rPr>
        <w:t>s hinnatud vähemalt hindega</w:t>
      </w:r>
      <w:r>
        <w:rPr>
          <w:lang w:eastAsia="et-EE"/>
        </w:rPr>
        <w:t xml:space="preserve"> 2,00;</w:t>
      </w:r>
    </w:p>
    <w:p w14:paraId="0964E27A" w14:textId="77777777" w:rsidR="00050732" w:rsidRDefault="008714D1" w:rsidP="0057412C">
      <w:pPr>
        <w:jc w:val="both"/>
        <w:rPr>
          <w:lang w:eastAsia="et-EE"/>
        </w:rPr>
      </w:pPr>
      <w:r>
        <w:rPr>
          <w:lang w:eastAsia="et-EE"/>
        </w:rPr>
        <w:t xml:space="preserve">3) </w:t>
      </w:r>
      <w:r w:rsidR="00D82F19">
        <w:rPr>
          <w:lang w:eastAsia="et-EE"/>
        </w:rPr>
        <w:t xml:space="preserve">taotlus </w:t>
      </w:r>
      <w:r>
        <w:rPr>
          <w:lang w:eastAsia="et-EE"/>
        </w:rPr>
        <w:t>ei ületa meetme rahastamise eelarvet</w:t>
      </w:r>
      <w:r w:rsidR="00D82F19">
        <w:rPr>
          <w:lang w:eastAsia="et-EE"/>
        </w:rPr>
        <w:t>.</w:t>
      </w:r>
    </w:p>
    <w:p w14:paraId="7E51217B" w14:textId="77777777" w:rsidR="008714D1" w:rsidRDefault="008714D1" w:rsidP="0057412C">
      <w:pPr>
        <w:jc w:val="both"/>
        <w:rPr>
          <w:lang w:eastAsia="et-EE"/>
        </w:rPr>
      </w:pPr>
      <w:r>
        <w:rPr>
          <w:lang w:eastAsia="et-EE"/>
        </w:rPr>
        <w:t xml:space="preserve">Rakendusüksus rahuldab kõik nõuetele vastavaks tunnistatud taotlused.  </w:t>
      </w:r>
    </w:p>
    <w:p w14:paraId="097E709C" w14:textId="77777777" w:rsidR="008714D1" w:rsidRDefault="008714D1" w:rsidP="0057412C">
      <w:pPr>
        <w:jc w:val="both"/>
        <w:rPr>
          <w:lang w:eastAsia="et-EE"/>
        </w:rPr>
      </w:pPr>
    </w:p>
    <w:p w14:paraId="52B2CD23" w14:textId="77777777" w:rsidR="00050732" w:rsidRDefault="00D82F19" w:rsidP="0057412C">
      <w:pPr>
        <w:jc w:val="both"/>
        <w:rPr>
          <w:lang w:eastAsia="et-EE"/>
        </w:rPr>
      </w:pPr>
      <w:r>
        <w:rPr>
          <w:lang w:eastAsia="et-EE"/>
        </w:rPr>
        <w:t xml:space="preserve">Rakendusüksus võib taotlust ka osaliselt rahuldada. Käesoleva meetme § 20 sätestab taotluse osalise rahastamise korra. </w:t>
      </w:r>
      <w:r w:rsidR="004D1FC7">
        <w:rPr>
          <w:lang w:eastAsia="et-EE"/>
        </w:rPr>
        <w:t>T</w:t>
      </w:r>
      <w:r>
        <w:rPr>
          <w:lang w:eastAsia="et-EE"/>
        </w:rPr>
        <w:t xml:space="preserve">uleb </w:t>
      </w:r>
      <w:r w:rsidR="004D1FC7">
        <w:rPr>
          <w:lang w:eastAsia="et-EE"/>
        </w:rPr>
        <w:t xml:space="preserve">eraldi </w:t>
      </w:r>
      <w:r>
        <w:rPr>
          <w:lang w:eastAsia="et-EE"/>
        </w:rPr>
        <w:t xml:space="preserve">välja tuua, et taotlust rahuldatakse osaliselt ainult neil juhtudel kui </w:t>
      </w:r>
      <w:r w:rsidRPr="00D82F19">
        <w:rPr>
          <w:lang w:eastAsia="et-EE"/>
        </w:rPr>
        <w:t xml:space="preserve">projekti eesmärk on saavutatav </w:t>
      </w:r>
      <w:r>
        <w:rPr>
          <w:lang w:eastAsia="et-EE"/>
        </w:rPr>
        <w:t xml:space="preserve">ka vähendatud eelarve ja väiksema hulga tegevustega. </w:t>
      </w:r>
      <w:r w:rsidR="004D1FC7">
        <w:rPr>
          <w:lang w:eastAsia="et-EE"/>
        </w:rPr>
        <w:t xml:space="preserve">Lisaks peab taotleja </w:t>
      </w:r>
      <w:r w:rsidRPr="00D82F19">
        <w:rPr>
          <w:lang w:eastAsia="et-EE"/>
        </w:rPr>
        <w:t>nõus</w:t>
      </w:r>
      <w:r w:rsidR="004D1FC7">
        <w:rPr>
          <w:lang w:eastAsia="et-EE"/>
        </w:rPr>
        <w:t>tuma</w:t>
      </w:r>
      <w:r w:rsidRPr="00D82F19">
        <w:rPr>
          <w:lang w:eastAsia="et-EE"/>
        </w:rPr>
        <w:t xml:space="preserve"> rakendusüksuse ettepanekuga taotletud toetuse summa vähendamiseks või projektis kavandatud tegevuste muutmisega. </w:t>
      </w:r>
    </w:p>
    <w:p w14:paraId="3074A7F5" w14:textId="77777777" w:rsidR="004D1FC7" w:rsidRDefault="004D1FC7" w:rsidP="0057412C">
      <w:pPr>
        <w:jc w:val="both"/>
        <w:rPr>
          <w:lang w:eastAsia="et-EE"/>
        </w:rPr>
      </w:pPr>
    </w:p>
    <w:p w14:paraId="065C3F98" w14:textId="77777777" w:rsidR="004D1FC7" w:rsidRDefault="004D1FC7" w:rsidP="0057412C">
      <w:pPr>
        <w:jc w:val="both"/>
        <w:rPr>
          <w:lang w:eastAsia="et-EE"/>
        </w:rPr>
      </w:pPr>
      <w:r>
        <w:rPr>
          <w:lang w:eastAsia="et-EE"/>
        </w:rPr>
        <w:t xml:space="preserve">Rakendusüksusel on õigus rahuldada taotlus ka kõrvaltingimustega. Siinkohal on oluline rõhutada, et </w:t>
      </w:r>
      <w:r w:rsidRPr="004D1FC7">
        <w:rPr>
          <w:lang w:eastAsia="et-EE"/>
        </w:rPr>
        <w:t xml:space="preserve">tingimusliku </w:t>
      </w:r>
      <w:r>
        <w:rPr>
          <w:lang w:eastAsia="et-EE"/>
        </w:rPr>
        <w:t xml:space="preserve">taotluse </w:t>
      </w:r>
      <w:r w:rsidRPr="004D1FC7">
        <w:rPr>
          <w:lang w:eastAsia="et-EE"/>
        </w:rPr>
        <w:t>rahuldamise otsuse põhjal ei teki toetuse saajal õigust toetuse väljamaksetele. Õigus toetusega seotud maksetele, tekib toetuse saajal pärast rakendusüksuse poolt kõrvaltingimuse nõuetekohase saabumise või täitmise kohta vastava teabe vormistamisel taotluse rahuldamise otsuse juurde.</w:t>
      </w:r>
    </w:p>
    <w:p w14:paraId="1C0058AD" w14:textId="77777777" w:rsidR="004D1FC7" w:rsidRPr="002E6552" w:rsidRDefault="004D1FC7" w:rsidP="0057412C">
      <w:pPr>
        <w:jc w:val="both"/>
        <w:rPr>
          <w:lang w:eastAsia="et-EE"/>
        </w:rPr>
      </w:pPr>
    </w:p>
    <w:p w14:paraId="5456B000" w14:textId="77777777" w:rsidR="00050732" w:rsidRPr="002E6552" w:rsidRDefault="004D1FC7" w:rsidP="0057412C">
      <w:pPr>
        <w:jc w:val="both"/>
        <w:rPr>
          <w:lang w:eastAsia="et-EE"/>
        </w:rPr>
      </w:pPr>
      <w:r>
        <w:rPr>
          <w:u w:val="single"/>
          <w:lang w:eastAsia="et-EE"/>
        </w:rPr>
        <w:t>Eelnõu § 21</w:t>
      </w:r>
      <w:r w:rsidR="00050732" w:rsidRPr="002E6552">
        <w:rPr>
          <w:lang w:eastAsia="et-EE"/>
        </w:rPr>
        <w:t xml:space="preserve"> sätestab </w:t>
      </w:r>
      <w:r>
        <w:rPr>
          <w:lang w:eastAsia="et-EE"/>
        </w:rPr>
        <w:t>t</w:t>
      </w:r>
      <w:r w:rsidR="00050732" w:rsidRPr="002E6552">
        <w:rPr>
          <w:lang w:eastAsia="et-EE"/>
        </w:rPr>
        <w:t>aotluse rahuldamise otsuse muutmise ja kehtetuks tunnistamise korra.</w:t>
      </w:r>
    </w:p>
    <w:p w14:paraId="1CAAD0F6" w14:textId="77777777" w:rsidR="004D1FC7" w:rsidRDefault="004D1FC7" w:rsidP="0057412C">
      <w:pPr>
        <w:jc w:val="both"/>
        <w:rPr>
          <w:lang w:eastAsia="et-EE"/>
        </w:rPr>
      </w:pPr>
    </w:p>
    <w:p w14:paraId="601F227D" w14:textId="409B100D" w:rsidR="004D1FC7" w:rsidRDefault="00D81D73" w:rsidP="0057412C">
      <w:pPr>
        <w:jc w:val="both"/>
        <w:rPr>
          <w:lang w:eastAsia="et-EE"/>
        </w:rPr>
      </w:pPr>
      <w:r w:rsidRPr="002E6552">
        <w:rPr>
          <w:lang w:eastAsia="et-EE"/>
        </w:rPr>
        <w:t xml:space="preserve">Taotluse rahuldamise otsust muudetakse nii rakendusüksuse kui ka toetuse saaja algatusel. </w:t>
      </w:r>
      <w:r w:rsidR="00CD5DDB" w:rsidRPr="002E6552">
        <w:rPr>
          <w:lang w:eastAsia="et-EE"/>
        </w:rPr>
        <w:t xml:space="preserve">Taotluse rahuldamise otsust muudetakse "Perioodi 2014–2020 struktuuritoetuse taotlemise ja taotluste menetlemise nõuded ja tingimused toetuse andmise tingimuste kehtestamiseks“ (edaspidi </w:t>
      </w:r>
      <w:r w:rsidR="00CD5DDB" w:rsidRPr="002E6552">
        <w:rPr>
          <w:i/>
          <w:lang w:eastAsia="et-EE"/>
        </w:rPr>
        <w:t>taotluste menetlemise määrus)</w:t>
      </w:r>
      <w:r w:rsidR="00CD5DDB" w:rsidRPr="002E6552">
        <w:rPr>
          <w:lang w:eastAsia="et-EE"/>
        </w:rPr>
        <w:t xml:space="preserve"> §</w:t>
      </w:r>
      <w:r w:rsidR="00274107">
        <w:rPr>
          <w:lang w:eastAsia="et-EE"/>
        </w:rPr>
        <w:t>-s</w:t>
      </w:r>
      <w:r w:rsidR="00CD5DDB" w:rsidRPr="002E6552">
        <w:rPr>
          <w:lang w:eastAsia="et-EE"/>
        </w:rPr>
        <w:t xml:space="preserve"> 10 sätestatud tingimustel ja korras. Eraldi tuleb välja tuua, et t</w:t>
      </w:r>
      <w:r w:rsidRPr="002E6552">
        <w:rPr>
          <w:lang w:eastAsia="et-EE"/>
        </w:rPr>
        <w:t xml:space="preserve">oetuse </w:t>
      </w:r>
      <w:r w:rsidR="001B1696">
        <w:rPr>
          <w:lang w:eastAsia="et-EE"/>
        </w:rPr>
        <w:t xml:space="preserve">saaja </w:t>
      </w:r>
      <w:r w:rsidRPr="002E6552">
        <w:rPr>
          <w:lang w:eastAsia="et-EE"/>
        </w:rPr>
        <w:t>on kohustatud rakendusüksuselt taotlema taotluse rahuldamise otsuse muutmist</w:t>
      </w:r>
      <w:r w:rsidR="00284CA3">
        <w:rPr>
          <w:lang w:eastAsia="et-EE"/>
        </w:rPr>
        <w:t>,</w:t>
      </w:r>
      <w:r w:rsidR="004D1FC7">
        <w:rPr>
          <w:lang w:eastAsia="et-EE"/>
        </w:rPr>
        <w:t xml:space="preserve"> kui ta soovib</w:t>
      </w:r>
      <w:r w:rsidR="007D07C1">
        <w:rPr>
          <w:lang w:eastAsia="et-EE"/>
        </w:rPr>
        <w:t xml:space="preserve"> muuta</w:t>
      </w:r>
      <w:r w:rsidRPr="002E6552">
        <w:rPr>
          <w:lang w:eastAsia="et-EE"/>
        </w:rPr>
        <w:t xml:space="preserve"> </w:t>
      </w:r>
      <w:r w:rsidR="004D1FC7" w:rsidRPr="004D1FC7">
        <w:rPr>
          <w:lang w:eastAsia="et-EE"/>
        </w:rPr>
        <w:t xml:space="preserve">arenguplaani </w:t>
      </w:r>
      <w:r w:rsidR="007D07C1">
        <w:rPr>
          <w:lang w:eastAsia="et-EE"/>
        </w:rPr>
        <w:t>neid tegevusi</w:t>
      </w:r>
      <w:r w:rsidR="004D1FC7" w:rsidRPr="004D1FC7">
        <w:rPr>
          <w:lang w:eastAsia="et-EE"/>
        </w:rPr>
        <w:t xml:space="preserve">, mis on otseselt seotud või mõjutavad oluliselt taotluse rahuldamise otsusega rahastatavaid tegevusi. </w:t>
      </w:r>
      <w:r w:rsidR="007D07C1">
        <w:rPr>
          <w:lang w:eastAsia="et-EE"/>
        </w:rPr>
        <w:t xml:space="preserve">Nimetatud juhul </w:t>
      </w:r>
      <w:r w:rsidR="004D1FC7" w:rsidRPr="004D1FC7">
        <w:rPr>
          <w:lang w:eastAsia="et-EE"/>
        </w:rPr>
        <w:t xml:space="preserve"> ei tohi </w:t>
      </w:r>
      <w:r w:rsidR="007D07C1">
        <w:rPr>
          <w:lang w:eastAsia="et-EE"/>
        </w:rPr>
        <w:t>toetuse saaja mainitud</w:t>
      </w:r>
      <w:r w:rsidR="004D1FC7" w:rsidRPr="004D1FC7">
        <w:rPr>
          <w:lang w:eastAsia="et-EE"/>
        </w:rPr>
        <w:t xml:space="preserve"> muudatusi rakendada enne rakendusüksuse otsuse tegemist.</w:t>
      </w:r>
    </w:p>
    <w:p w14:paraId="257B0D4C" w14:textId="77777777" w:rsidR="004D1FC7" w:rsidRDefault="004D1FC7" w:rsidP="0057412C">
      <w:pPr>
        <w:jc w:val="both"/>
        <w:rPr>
          <w:lang w:eastAsia="et-EE"/>
        </w:rPr>
      </w:pPr>
    </w:p>
    <w:p w14:paraId="7CB9E80F" w14:textId="77777777" w:rsidR="007D07C1" w:rsidRDefault="007D07C1" w:rsidP="0057412C">
      <w:pPr>
        <w:jc w:val="both"/>
        <w:rPr>
          <w:lang w:eastAsia="et-EE"/>
        </w:rPr>
      </w:pPr>
      <w:r>
        <w:rPr>
          <w:lang w:eastAsia="et-EE"/>
        </w:rPr>
        <w:t xml:space="preserve">Toetuse summa suurendamine on lubatud, aga sellisel juhul peab toetuse saaja samuti taotlema taotluse rahuldamise otsuse muutmist. </w:t>
      </w:r>
    </w:p>
    <w:p w14:paraId="03088449" w14:textId="77777777" w:rsidR="007D07C1" w:rsidRDefault="007D07C1" w:rsidP="0057412C">
      <w:pPr>
        <w:jc w:val="both"/>
        <w:rPr>
          <w:lang w:eastAsia="et-EE"/>
        </w:rPr>
      </w:pPr>
    </w:p>
    <w:p w14:paraId="78C7894E" w14:textId="7144DA05" w:rsidR="007D07C1" w:rsidRDefault="007D07C1" w:rsidP="0057412C">
      <w:pPr>
        <w:jc w:val="both"/>
        <w:rPr>
          <w:lang w:eastAsia="et-EE"/>
        </w:rPr>
      </w:pPr>
      <w:r>
        <w:rPr>
          <w:lang w:eastAsia="et-EE"/>
        </w:rPr>
        <w:t>Välja arvatud kirjeldatud juhud ja taotluse menetelmise määruse § 10 lõikes 2 toodud juhud, on toetuse saajal õigus projektis muudatusi teha. Samas peab toetuse saaja rakendusüksust nimetatud muud</w:t>
      </w:r>
      <w:r w:rsidR="00284CA3">
        <w:rPr>
          <w:lang w:eastAsia="et-EE"/>
        </w:rPr>
        <w:t>a</w:t>
      </w:r>
      <w:r>
        <w:rPr>
          <w:lang w:eastAsia="et-EE"/>
        </w:rPr>
        <w:t>tuste tegemisest teavitama ja seda vähemalt ühe k</w:t>
      </w:r>
      <w:r w:rsidR="00284CA3">
        <w:rPr>
          <w:lang w:eastAsia="et-EE"/>
        </w:rPr>
        <w:t>uu</w:t>
      </w:r>
      <w:r>
        <w:rPr>
          <w:lang w:eastAsia="et-EE"/>
        </w:rPr>
        <w:t xml:space="preserve"> jooksul enne vastava muudatuse tegemist. </w:t>
      </w:r>
    </w:p>
    <w:p w14:paraId="19EB7CA9" w14:textId="77777777" w:rsidR="007D07C1" w:rsidRDefault="007D07C1" w:rsidP="0057412C">
      <w:pPr>
        <w:jc w:val="both"/>
        <w:rPr>
          <w:lang w:eastAsia="et-EE"/>
        </w:rPr>
      </w:pPr>
    </w:p>
    <w:p w14:paraId="7A1A2B98" w14:textId="77777777" w:rsidR="00850EE0" w:rsidRPr="002E6552" w:rsidRDefault="00850EE0" w:rsidP="0057412C">
      <w:pPr>
        <w:jc w:val="both"/>
        <w:rPr>
          <w:lang w:eastAsia="et-EE"/>
        </w:rPr>
      </w:pPr>
      <w:r w:rsidRPr="002E6552">
        <w:rPr>
          <w:lang w:eastAsia="et-EE"/>
        </w:rPr>
        <w:lastRenderedPageBreak/>
        <w:t>Kõikide muudatuste tegemisel on rakendusüksusel õigus</w:t>
      </w:r>
      <w:r w:rsidR="007D07C1">
        <w:rPr>
          <w:lang w:eastAsia="et-EE"/>
        </w:rPr>
        <w:t xml:space="preserve">, kasutades eelnõus sätestatud </w:t>
      </w:r>
      <w:r w:rsidR="0010622D">
        <w:rPr>
          <w:lang w:eastAsia="et-EE"/>
        </w:rPr>
        <w:t>taotluse hindamiskriteeriume</w:t>
      </w:r>
      <w:r w:rsidR="002D6612">
        <w:rPr>
          <w:lang w:eastAsia="et-EE"/>
        </w:rPr>
        <w:t>,</w:t>
      </w:r>
      <w:r w:rsidR="0010622D">
        <w:rPr>
          <w:lang w:eastAsia="et-EE"/>
        </w:rPr>
        <w:t xml:space="preserve"> </w:t>
      </w:r>
      <w:r w:rsidRPr="002E6552">
        <w:rPr>
          <w:lang w:eastAsia="et-EE"/>
        </w:rPr>
        <w:t>hinnata sisseviidavate mu</w:t>
      </w:r>
      <w:r w:rsidR="0010622D">
        <w:rPr>
          <w:lang w:eastAsia="et-EE"/>
        </w:rPr>
        <w:t>udatustega saavutatavaid mõju ning</w:t>
      </w:r>
      <w:r w:rsidRPr="002E6552">
        <w:rPr>
          <w:lang w:eastAsia="et-EE"/>
        </w:rPr>
        <w:t xml:space="preserve"> tulemusi.</w:t>
      </w:r>
    </w:p>
    <w:p w14:paraId="59075C01" w14:textId="77777777" w:rsidR="00850EE0" w:rsidRPr="002E6552" w:rsidRDefault="00850EE0" w:rsidP="0057412C">
      <w:pPr>
        <w:jc w:val="both"/>
        <w:rPr>
          <w:lang w:eastAsia="et-EE"/>
        </w:rPr>
      </w:pPr>
    </w:p>
    <w:p w14:paraId="0A6180E3" w14:textId="77777777" w:rsidR="00CD5DDB" w:rsidRPr="002E6552" w:rsidRDefault="00850EE0" w:rsidP="0057412C">
      <w:pPr>
        <w:jc w:val="both"/>
        <w:rPr>
          <w:lang w:eastAsia="et-EE"/>
        </w:rPr>
      </w:pPr>
      <w:r w:rsidRPr="002E6552">
        <w:rPr>
          <w:lang w:eastAsia="et-EE"/>
        </w:rPr>
        <w:t>Taotluse rahuldamise otsust võib muuta tagasiulatuvalt, kui see aitab kaasa projekti tulemuste saavutamisele ja muudatus on põhjendatud.</w:t>
      </w:r>
    </w:p>
    <w:p w14:paraId="599A34DE" w14:textId="77777777" w:rsidR="00F10C57" w:rsidRPr="002E6552" w:rsidRDefault="00F10C57" w:rsidP="0057412C">
      <w:pPr>
        <w:jc w:val="both"/>
        <w:rPr>
          <w:lang w:eastAsia="et-EE"/>
        </w:rPr>
      </w:pPr>
    </w:p>
    <w:p w14:paraId="0BEB0F87" w14:textId="77777777" w:rsidR="00F10C57" w:rsidRDefault="00850EE0" w:rsidP="0057412C">
      <w:pPr>
        <w:jc w:val="both"/>
      </w:pPr>
      <w:r w:rsidRPr="002E6552">
        <w:t>Taotluse rahuldamise otsuse muutmise otsustab rakendusüksus 20 tööpäeva jooksul pärast vastavasisulise taotluse saamist.</w:t>
      </w:r>
    </w:p>
    <w:p w14:paraId="53BF7094" w14:textId="77777777" w:rsidR="00850EE0" w:rsidRDefault="00850EE0" w:rsidP="0057412C">
      <w:pPr>
        <w:jc w:val="both"/>
      </w:pPr>
    </w:p>
    <w:p w14:paraId="724EC2FE" w14:textId="77777777" w:rsidR="00A95C63" w:rsidRDefault="00F10C57" w:rsidP="0057412C">
      <w:pPr>
        <w:widowControl w:val="0"/>
        <w:tabs>
          <w:tab w:val="center" w:pos="4938"/>
          <w:tab w:val="right" w:pos="9091"/>
        </w:tabs>
        <w:autoSpaceDE w:val="0"/>
        <w:jc w:val="both"/>
        <w:rPr>
          <w:b/>
        </w:rPr>
      </w:pPr>
      <w:r w:rsidRPr="002E6552">
        <w:rPr>
          <w:b/>
        </w:rPr>
        <w:t>5. peatükk</w:t>
      </w:r>
    </w:p>
    <w:p w14:paraId="529B7352" w14:textId="77777777" w:rsidR="00F10C57" w:rsidRPr="002E6552" w:rsidRDefault="00F10C57" w:rsidP="0057412C">
      <w:pPr>
        <w:widowControl w:val="0"/>
        <w:tabs>
          <w:tab w:val="center" w:pos="4938"/>
          <w:tab w:val="right" w:pos="9091"/>
        </w:tabs>
        <w:autoSpaceDE w:val="0"/>
        <w:jc w:val="both"/>
        <w:rPr>
          <w:b/>
        </w:rPr>
      </w:pPr>
      <w:r w:rsidRPr="002E6552">
        <w:rPr>
          <w:b/>
        </w:rPr>
        <w:t>Aruannete esitamine ja toetuse maksmise tingimused</w:t>
      </w:r>
    </w:p>
    <w:p w14:paraId="30A4041B" w14:textId="77777777" w:rsidR="00465E52" w:rsidRPr="002E6552" w:rsidRDefault="00465E52" w:rsidP="0057412C">
      <w:pPr>
        <w:widowControl w:val="0"/>
        <w:tabs>
          <w:tab w:val="center" w:pos="4938"/>
          <w:tab w:val="right" w:pos="9091"/>
        </w:tabs>
        <w:autoSpaceDE w:val="0"/>
        <w:jc w:val="both"/>
        <w:rPr>
          <w:b/>
        </w:rPr>
      </w:pPr>
    </w:p>
    <w:p w14:paraId="1F3E4831" w14:textId="77777777" w:rsidR="00F10C57" w:rsidRPr="002E6552" w:rsidRDefault="00F10C57" w:rsidP="0057412C">
      <w:pPr>
        <w:widowControl w:val="0"/>
        <w:tabs>
          <w:tab w:val="center" w:pos="4938"/>
          <w:tab w:val="right" w:pos="9091"/>
        </w:tabs>
        <w:autoSpaceDE w:val="0"/>
        <w:jc w:val="both"/>
      </w:pPr>
      <w:r w:rsidRPr="002E6552">
        <w:t>Eelnõu 5.</w:t>
      </w:r>
      <w:r w:rsidR="00DE366E">
        <w:t xml:space="preserve"> </w:t>
      </w:r>
      <w:r w:rsidRPr="002E6552">
        <w:t>peatükis kirjeldatakse, kuidas toimub toetuse kasutamisega seotud aruannete esitamine ning millised on toetuse maksmise tingimused.</w:t>
      </w:r>
      <w:r w:rsidR="00F36A3E">
        <w:t xml:space="preserve"> </w:t>
      </w:r>
    </w:p>
    <w:p w14:paraId="3364451C" w14:textId="77777777" w:rsidR="00A136F8" w:rsidRDefault="00A136F8" w:rsidP="0057412C">
      <w:pPr>
        <w:widowControl w:val="0"/>
        <w:tabs>
          <w:tab w:val="center" w:pos="4938"/>
          <w:tab w:val="right" w:pos="9091"/>
        </w:tabs>
        <w:autoSpaceDE w:val="0"/>
        <w:jc w:val="both"/>
        <w:rPr>
          <w:u w:val="single"/>
        </w:rPr>
      </w:pPr>
    </w:p>
    <w:p w14:paraId="28BC1DB0" w14:textId="77777777" w:rsidR="00530EE4" w:rsidRPr="002E6552" w:rsidRDefault="00A136F8" w:rsidP="0057412C">
      <w:pPr>
        <w:widowControl w:val="0"/>
        <w:tabs>
          <w:tab w:val="center" w:pos="4938"/>
          <w:tab w:val="right" w:pos="9091"/>
        </w:tabs>
        <w:autoSpaceDE w:val="0"/>
        <w:jc w:val="both"/>
      </w:pPr>
      <w:r>
        <w:rPr>
          <w:u w:val="single"/>
        </w:rPr>
        <w:t>Eelnõu § 22</w:t>
      </w:r>
      <w:r w:rsidR="00F10C57" w:rsidRPr="002E6552">
        <w:t xml:space="preserve"> sätestab toetuse kasutamisega seotud aruannete esitamise </w:t>
      </w:r>
      <w:r w:rsidR="00530EE4" w:rsidRPr="002E6552">
        <w:t>tingimused.</w:t>
      </w:r>
    </w:p>
    <w:p w14:paraId="53CBAC99" w14:textId="77777777" w:rsidR="00530EE4" w:rsidRPr="002E6552" w:rsidRDefault="00530EE4" w:rsidP="0057412C">
      <w:pPr>
        <w:widowControl w:val="0"/>
        <w:tabs>
          <w:tab w:val="center" w:pos="4938"/>
          <w:tab w:val="right" w:pos="9091"/>
        </w:tabs>
        <w:autoSpaceDE w:val="0"/>
        <w:jc w:val="both"/>
      </w:pPr>
    </w:p>
    <w:p w14:paraId="47A9443F" w14:textId="77777777" w:rsidR="00530EE4" w:rsidRPr="002E6552" w:rsidRDefault="009302BE" w:rsidP="0057412C">
      <w:pPr>
        <w:widowControl w:val="0"/>
        <w:tabs>
          <w:tab w:val="center" w:pos="4938"/>
          <w:tab w:val="right" w:pos="9091"/>
        </w:tabs>
        <w:autoSpaceDE w:val="0"/>
        <w:jc w:val="both"/>
      </w:pPr>
      <w:r>
        <w:t xml:space="preserve">Antud eelnõu alusel esitab toetuse saaja </w:t>
      </w:r>
      <w:r w:rsidR="00105CE1" w:rsidRPr="002E6552">
        <w:t>kahte</w:t>
      </w:r>
      <w:r w:rsidR="00530EE4" w:rsidRPr="002E6552">
        <w:t xml:space="preserve"> tüüpi aruandeid:</w:t>
      </w:r>
    </w:p>
    <w:p w14:paraId="43ABF67C" w14:textId="77777777" w:rsidR="00105CE1" w:rsidRPr="002E6552" w:rsidRDefault="00530EE4" w:rsidP="0057412C">
      <w:pPr>
        <w:pStyle w:val="ListParagraph"/>
        <w:widowControl w:val="0"/>
        <w:numPr>
          <w:ilvl w:val="0"/>
          <w:numId w:val="23"/>
        </w:numPr>
        <w:tabs>
          <w:tab w:val="center" w:pos="4938"/>
          <w:tab w:val="right" w:pos="9091"/>
        </w:tabs>
        <w:autoSpaceDE w:val="0"/>
        <w:spacing w:line="240" w:lineRule="auto"/>
        <w:jc w:val="both"/>
        <w:rPr>
          <w:rFonts w:ascii="Times New Roman" w:hAnsi="Times New Roman"/>
          <w:sz w:val="24"/>
          <w:szCs w:val="24"/>
        </w:rPr>
      </w:pPr>
      <w:r w:rsidRPr="002E6552">
        <w:rPr>
          <w:rFonts w:ascii="Times New Roman" w:hAnsi="Times New Roman"/>
          <w:sz w:val="24"/>
          <w:szCs w:val="24"/>
        </w:rPr>
        <w:t>vahearuanne –</w:t>
      </w:r>
      <w:r w:rsidR="00105CE1" w:rsidRPr="002E6552">
        <w:rPr>
          <w:rFonts w:ascii="Times New Roman" w:hAnsi="Times New Roman"/>
          <w:sz w:val="24"/>
          <w:szCs w:val="24"/>
        </w:rPr>
        <w:t xml:space="preserve"> toetuse elluviimise</w:t>
      </w:r>
      <w:r w:rsidRPr="002E6552">
        <w:rPr>
          <w:rFonts w:ascii="Times New Roman" w:hAnsi="Times New Roman"/>
          <w:sz w:val="24"/>
          <w:szCs w:val="24"/>
        </w:rPr>
        <w:t xml:space="preserve"> </w:t>
      </w:r>
      <w:r w:rsidR="00105CE1" w:rsidRPr="002E6552">
        <w:rPr>
          <w:rFonts w:ascii="Times New Roman" w:hAnsi="Times New Roman"/>
          <w:sz w:val="24"/>
          <w:szCs w:val="24"/>
        </w:rPr>
        <w:t xml:space="preserve">aruandeperioodi </w:t>
      </w:r>
      <w:r w:rsidRPr="002E6552">
        <w:rPr>
          <w:rFonts w:ascii="Times New Roman" w:hAnsi="Times New Roman"/>
          <w:sz w:val="24"/>
          <w:szCs w:val="24"/>
        </w:rPr>
        <w:t>tegevusaruanne</w:t>
      </w:r>
      <w:r w:rsidR="00105CE1" w:rsidRPr="002E6552">
        <w:rPr>
          <w:rFonts w:ascii="Times New Roman" w:hAnsi="Times New Roman"/>
          <w:sz w:val="24"/>
          <w:szCs w:val="24"/>
        </w:rPr>
        <w:t xml:space="preserve">, kus </w:t>
      </w:r>
      <w:r w:rsidR="002B0D73">
        <w:rPr>
          <w:rFonts w:ascii="Times New Roman" w:hAnsi="Times New Roman"/>
          <w:sz w:val="24"/>
          <w:szCs w:val="24"/>
        </w:rPr>
        <w:t>ettevõtja</w:t>
      </w:r>
      <w:r w:rsidR="00105CE1" w:rsidRPr="002E6552">
        <w:rPr>
          <w:rFonts w:ascii="Times New Roman" w:hAnsi="Times New Roman"/>
          <w:sz w:val="24"/>
          <w:szCs w:val="24"/>
        </w:rPr>
        <w:t xml:space="preserve"> kirjeldab aruandeperioodil toimunud tegevusi, hindab </w:t>
      </w:r>
      <w:r w:rsidR="008B2FCD">
        <w:rPr>
          <w:rFonts w:ascii="Times New Roman" w:hAnsi="Times New Roman"/>
          <w:sz w:val="24"/>
          <w:szCs w:val="24"/>
        </w:rPr>
        <w:t xml:space="preserve">projekti </w:t>
      </w:r>
      <w:r w:rsidR="008B2FCD" w:rsidRPr="002E6552">
        <w:rPr>
          <w:rFonts w:ascii="Times New Roman" w:hAnsi="Times New Roman"/>
          <w:sz w:val="24"/>
          <w:szCs w:val="24"/>
        </w:rPr>
        <w:t xml:space="preserve">tegevuste edukust ja </w:t>
      </w:r>
      <w:r w:rsidR="00105CE1" w:rsidRPr="002E6552">
        <w:rPr>
          <w:rFonts w:ascii="Times New Roman" w:hAnsi="Times New Roman"/>
          <w:sz w:val="24"/>
          <w:szCs w:val="24"/>
        </w:rPr>
        <w:t>saavutatud eesmärke;</w:t>
      </w:r>
    </w:p>
    <w:p w14:paraId="371BC578" w14:textId="77777777" w:rsidR="00530EE4" w:rsidRPr="002E6552" w:rsidRDefault="00105CE1" w:rsidP="0057412C">
      <w:pPr>
        <w:pStyle w:val="ListParagraph"/>
        <w:widowControl w:val="0"/>
        <w:numPr>
          <w:ilvl w:val="0"/>
          <w:numId w:val="23"/>
        </w:numPr>
        <w:tabs>
          <w:tab w:val="center" w:pos="4938"/>
          <w:tab w:val="right" w:pos="9091"/>
        </w:tabs>
        <w:autoSpaceDE w:val="0"/>
        <w:spacing w:line="240" w:lineRule="auto"/>
        <w:jc w:val="both"/>
        <w:rPr>
          <w:rFonts w:ascii="Times New Roman" w:hAnsi="Times New Roman"/>
          <w:sz w:val="24"/>
          <w:szCs w:val="24"/>
        </w:rPr>
      </w:pPr>
      <w:r w:rsidRPr="002E6552">
        <w:rPr>
          <w:rFonts w:ascii="Times New Roman" w:hAnsi="Times New Roman"/>
          <w:sz w:val="24"/>
          <w:szCs w:val="24"/>
        </w:rPr>
        <w:t>lõpparuanne -  toetuse elluviimise terviklik tegevusaruann</w:t>
      </w:r>
      <w:r w:rsidR="002B0D73">
        <w:rPr>
          <w:rFonts w:ascii="Times New Roman" w:hAnsi="Times New Roman"/>
          <w:sz w:val="24"/>
          <w:szCs w:val="24"/>
        </w:rPr>
        <w:t>e, kus ettevõtja kirjeldab</w:t>
      </w:r>
      <w:r w:rsidR="00F2566B" w:rsidRPr="002E6552">
        <w:rPr>
          <w:rFonts w:ascii="Times New Roman" w:hAnsi="Times New Roman"/>
          <w:sz w:val="24"/>
          <w:szCs w:val="24"/>
        </w:rPr>
        <w:t xml:space="preserve"> kogu projekti tegevusi, hindab projekti tegevuste edukust ja saavutatud eesmärke.</w:t>
      </w:r>
    </w:p>
    <w:p w14:paraId="3F735EF1" w14:textId="278B8CD5" w:rsidR="00F2566B" w:rsidRPr="002E6552" w:rsidRDefault="002B0D73" w:rsidP="0057412C">
      <w:pPr>
        <w:widowControl w:val="0"/>
        <w:tabs>
          <w:tab w:val="center" w:pos="4938"/>
          <w:tab w:val="right" w:pos="9091"/>
        </w:tabs>
        <w:autoSpaceDE w:val="0"/>
        <w:jc w:val="both"/>
      </w:pPr>
      <w:r>
        <w:t>A</w:t>
      </w:r>
      <w:r w:rsidR="00F2566B" w:rsidRPr="002E6552">
        <w:t>ruandeperioodi pikkus</w:t>
      </w:r>
      <w:r w:rsidR="007A112C" w:rsidRPr="007A112C">
        <w:t xml:space="preserve"> tuleneb arenguplaanist ja sätestataks</w:t>
      </w:r>
      <w:r w:rsidR="007A112C">
        <w:t>e taotluse rahuldamise otsusega</w:t>
      </w:r>
      <w:r w:rsidR="00F2566B" w:rsidRPr="002E6552">
        <w:t>.</w:t>
      </w:r>
    </w:p>
    <w:p w14:paraId="480E0EEE" w14:textId="77777777" w:rsidR="00F2566B" w:rsidRDefault="00F2566B" w:rsidP="0057412C">
      <w:pPr>
        <w:widowControl w:val="0"/>
        <w:tabs>
          <w:tab w:val="center" w:pos="4938"/>
          <w:tab w:val="right" w:pos="9091"/>
        </w:tabs>
        <w:autoSpaceDE w:val="0"/>
        <w:jc w:val="both"/>
      </w:pPr>
    </w:p>
    <w:p w14:paraId="5E5F8FF5" w14:textId="77777777" w:rsidR="00F2566B" w:rsidRDefault="002B0D73" w:rsidP="0057412C">
      <w:pPr>
        <w:widowControl w:val="0"/>
        <w:tabs>
          <w:tab w:val="center" w:pos="4938"/>
          <w:tab w:val="right" w:pos="9091"/>
        </w:tabs>
        <w:autoSpaceDE w:val="0"/>
        <w:jc w:val="both"/>
      </w:pPr>
      <w:r>
        <w:t>Toetuse saaja esitab v</w:t>
      </w:r>
      <w:r w:rsidRPr="002B0D73">
        <w:t>ahe- ja lõpparuanded rakendusüksusele taotluse rahuldamise otsuses sätestatud tähtajaks</w:t>
      </w:r>
      <w:r>
        <w:t xml:space="preserve">. Kogu antud eelnõuga seotud aruandlus esitatakse </w:t>
      </w:r>
      <w:r w:rsidRPr="002B0D73">
        <w:t xml:space="preserve"> e-teeninduse</w:t>
      </w:r>
      <w:r w:rsidR="00CD0241">
        <w:t xml:space="preserve"> keskkonnas</w:t>
      </w:r>
      <w:r w:rsidR="00CD0241" w:rsidRPr="00CD0241">
        <w:t xml:space="preserve"> </w:t>
      </w:r>
      <w:r w:rsidR="00CD0241" w:rsidRPr="002B0D73">
        <w:t>toetuse saaja esindusõigusliku isiku poolt digitaalselt allkirjastatuna</w:t>
      </w:r>
      <w:r>
        <w:t xml:space="preserve">. </w:t>
      </w:r>
    </w:p>
    <w:p w14:paraId="13229F7F" w14:textId="77777777" w:rsidR="00CD0241" w:rsidRDefault="00CD0241" w:rsidP="0057412C">
      <w:pPr>
        <w:widowControl w:val="0"/>
        <w:tabs>
          <w:tab w:val="center" w:pos="4938"/>
          <w:tab w:val="right" w:pos="9091"/>
        </w:tabs>
        <w:autoSpaceDE w:val="0"/>
        <w:jc w:val="both"/>
      </w:pPr>
    </w:p>
    <w:p w14:paraId="324D776C" w14:textId="1CED87DC" w:rsidR="00CD0241" w:rsidRPr="002E6552" w:rsidRDefault="00CD0241" w:rsidP="0057412C">
      <w:pPr>
        <w:widowControl w:val="0"/>
        <w:tabs>
          <w:tab w:val="center" w:pos="4938"/>
          <w:tab w:val="right" w:pos="9091"/>
        </w:tabs>
        <w:autoSpaceDE w:val="0"/>
        <w:jc w:val="both"/>
      </w:pPr>
      <w:r>
        <w:t xml:space="preserve">Kui tekib vastav vajadus, siis </w:t>
      </w:r>
      <w:r w:rsidR="001B1696">
        <w:t xml:space="preserve">võib </w:t>
      </w:r>
      <w:r>
        <w:t>rakendusüksus vahe- ja lõpparuande hindamiseks kaas</w:t>
      </w:r>
      <w:r w:rsidR="001B1696">
        <w:t>a</w:t>
      </w:r>
      <w:r>
        <w:t>ta eksperte.</w:t>
      </w:r>
    </w:p>
    <w:p w14:paraId="60EB2B1F" w14:textId="77777777" w:rsidR="00A64218" w:rsidRPr="002E6552" w:rsidRDefault="00A64218" w:rsidP="0057412C">
      <w:pPr>
        <w:widowControl w:val="0"/>
        <w:tabs>
          <w:tab w:val="center" w:pos="4938"/>
          <w:tab w:val="right" w:pos="9091"/>
        </w:tabs>
        <w:autoSpaceDE w:val="0"/>
        <w:jc w:val="both"/>
      </w:pPr>
    </w:p>
    <w:p w14:paraId="38E229A4" w14:textId="77777777" w:rsidR="00FA1CDD" w:rsidRDefault="00FA1CDD" w:rsidP="0057412C">
      <w:pPr>
        <w:widowControl w:val="0"/>
        <w:tabs>
          <w:tab w:val="center" w:pos="4938"/>
          <w:tab w:val="right" w:pos="9091"/>
        </w:tabs>
        <w:autoSpaceDE w:val="0"/>
        <w:jc w:val="both"/>
      </w:pPr>
      <w:r w:rsidRPr="002E6552">
        <w:t>Lisaks määruse</w:t>
      </w:r>
      <w:r w:rsidR="002B019A">
        <w:t>ga sätestatud aruannetele on toetuse saaja</w:t>
      </w:r>
      <w:r w:rsidRPr="002E6552">
        <w:t xml:space="preserve">l kohustus rakendusüksusele esitada projekti järgseid aruandeid koos vastavate andmete ja informatsiooniga, mille alusel saab rakendusüksus hinnata </w:t>
      </w:r>
      <w:r w:rsidR="002B019A">
        <w:t>toetuse saaja</w:t>
      </w:r>
      <w:r w:rsidRPr="002E6552">
        <w:t xml:space="preserve"> määrusega saavutatud mõju. </w:t>
      </w:r>
    </w:p>
    <w:p w14:paraId="57644933" w14:textId="77777777" w:rsidR="00A95C63" w:rsidRPr="002E6552" w:rsidRDefault="00A95C63" w:rsidP="0057412C">
      <w:pPr>
        <w:widowControl w:val="0"/>
        <w:tabs>
          <w:tab w:val="center" w:pos="4938"/>
          <w:tab w:val="right" w:pos="9091"/>
        </w:tabs>
        <w:autoSpaceDE w:val="0"/>
        <w:jc w:val="both"/>
      </w:pPr>
    </w:p>
    <w:p w14:paraId="3D591473" w14:textId="77777777" w:rsidR="00F10C57" w:rsidRPr="002E6552" w:rsidRDefault="00F10C57" w:rsidP="0057412C">
      <w:pPr>
        <w:widowControl w:val="0"/>
        <w:tabs>
          <w:tab w:val="center" w:pos="4938"/>
          <w:tab w:val="right" w:pos="9091"/>
        </w:tabs>
        <w:autoSpaceDE w:val="0"/>
        <w:jc w:val="both"/>
        <w:rPr>
          <w:u w:val="single"/>
        </w:rPr>
      </w:pPr>
      <w:r w:rsidRPr="002E6552">
        <w:rPr>
          <w:u w:val="single"/>
        </w:rPr>
        <w:t xml:space="preserve">Eelnõu § </w:t>
      </w:r>
      <w:r w:rsidR="00CD0241">
        <w:rPr>
          <w:u w:val="single"/>
        </w:rPr>
        <w:t>2</w:t>
      </w:r>
      <w:r w:rsidR="00F36A3E">
        <w:rPr>
          <w:u w:val="single"/>
        </w:rPr>
        <w:t>3</w:t>
      </w:r>
      <w:r w:rsidRPr="002E6552">
        <w:t xml:space="preserve"> sätestab toetuse maksmise tingimused. </w:t>
      </w:r>
    </w:p>
    <w:p w14:paraId="1D726156" w14:textId="77777777" w:rsidR="00F10C57" w:rsidRPr="002E6552" w:rsidRDefault="00F10C57" w:rsidP="0057412C">
      <w:pPr>
        <w:pStyle w:val="NormalWeb"/>
        <w:spacing w:before="0" w:beforeAutospacing="0" w:after="0" w:afterAutospacing="0"/>
        <w:jc w:val="both"/>
        <w:rPr>
          <w:color w:val="auto"/>
          <w:highlight w:val="yellow"/>
          <w:lang w:eastAsia="en-US"/>
        </w:rPr>
      </w:pPr>
    </w:p>
    <w:p w14:paraId="480CE6C0" w14:textId="77777777" w:rsidR="00F3155E" w:rsidRDefault="00F3155E" w:rsidP="0057412C">
      <w:pPr>
        <w:pStyle w:val="NormalWeb"/>
        <w:spacing w:before="0" w:beforeAutospacing="0" w:after="0" w:afterAutospacing="0"/>
        <w:jc w:val="both"/>
      </w:pPr>
      <w:r w:rsidRPr="002E6552">
        <w:t xml:space="preserve">Toetuse maksmine koosneb rakendusüksusele maksetaotluse esitamisest, maksetaotluse menetlemisest </w:t>
      </w:r>
      <w:r w:rsidR="008B2FCD">
        <w:t xml:space="preserve">ja </w:t>
      </w:r>
      <w:r w:rsidRPr="002E6552">
        <w:t xml:space="preserve">toetuse maksmisest. </w:t>
      </w:r>
    </w:p>
    <w:p w14:paraId="31FD2AAB" w14:textId="77777777" w:rsidR="00CD0241" w:rsidRPr="002E6552" w:rsidRDefault="00CD0241" w:rsidP="0057412C">
      <w:pPr>
        <w:pStyle w:val="NormalWeb"/>
        <w:spacing w:before="0" w:beforeAutospacing="0" w:after="0" w:afterAutospacing="0"/>
        <w:jc w:val="both"/>
      </w:pPr>
    </w:p>
    <w:p w14:paraId="585AB092" w14:textId="0F4DA894" w:rsidR="00F3155E" w:rsidRPr="002E6552" w:rsidRDefault="00F10C57" w:rsidP="0057412C">
      <w:pPr>
        <w:pStyle w:val="NormalWeb"/>
        <w:spacing w:before="0" w:beforeAutospacing="0" w:after="0" w:afterAutospacing="0"/>
        <w:jc w:val="both"/>
      </w:pPr>
      <w:r w:rsidRPr="002E6552">
        <w:t xml:space="preserve">Toetuse maksed tehakse vastavalt </w:t>
      </w:r>
      <w:r w:rsidR="001777C7">
        <w:t>ühendmääruse</w:t>
      </w:r>
      <w:r w:rsidR="00F3155E" w:rsidRPr="002E6552">
        <w:t xml:space="preserve"> </w:t>
      </w:r>
      <w:r w:rsidR="00CD0241" w:rsidRPr="00CD0241">
        <w:t>§-dele 11 kuni 14 ja taotluse rahuldamise otsuses toodud tingimuste</w:t>
      </w:r>
      <w:r w:rsidR="00CD0241">
        <w:t>le</w:t>
      </w:r>
      <w:r w:rsidRPr="002E6552">
        <w:t xml:space="preserve">. </w:t>
      </w:r>
    </w:p>
    <w:p w14:paraId="2A34B1B3" w14:textId="77777777" w:rsidR="00F3155E" w:rsidRPr="002E6552" w:rsidRDefault="00F3155E" w:rsidP="0057412C">
      <w:pPr>
        <w:pStyle w:val="NormalWeb"/>
        <w:spacing w:before="0" w:beforeAutospacing="0" w:after="0" w:afterAutospacing="0"/>
        <w:jc w:val="both"/>
      </w:pPr>
    </w:p>
    <w:p w14:paraId="4291DFA4" w14:textId="796CD757" w:rsidR="00F3155E" w:rsidRPr="002E6552" w:rsidRDefault="00CD0241" w:rsidP="0057412C">
      <w:pPr>
        <w:pStyle w:val="NormalWeb"/>
        <w:spacing w:before="0" w:beforeAutospacing="0" w:after="0" w:afterAutospacing="0"/>
        <w:jc w:val="both"/>
      </w:pPr>
      <w:r>
        <w:t>Toetuse saaja esitab maksetaotluse</w:t>
      </w:r>
      <w:r w:rsidR="00F3155E" w:rsidRPr="002E6552">
        <w:t xml:space="preserve"> e-teeninduse</w:t>
      </w:r>
      <w:r w:rsidRPr="002E6552">
        <w:t xml:space="preserve"> kaudu</w:t>
      </w:r>
      <w:r>
        <w:t xml:space="preserve"> ja tehes seda taotluse rahuldamise otsuses sätestatud tähtaegadel. </w:t>
      </w:r>
      <w:r w:rsidR="00C60A11">
        <w:t xml:space="preserve">Maksetaotlust saab esitada maksimaalselt üks </w:t>
      </w:r>
      <w:r w:rsidR="00F3155E" w:rsidRPr="002E6552">
        <w:t>kord kvartalis.</w:t>
      </w:r>
    </w:p>
    <w:p w14:paraId="713D7895" w14:textId="77777777" w:rsidR="00F3155E" w:rsidRPr="002E6552" w:rsidRDefault="00F3155E" w:rsidP="0057412C">
      <w:pPr>
        <w:pStyle w:val="NormalWeb"/>
        <w:spacing w:before="0" w:beforeAutospacing="0" w:after="0" w:afterAutospacing="0"/>
        <w:jc w:val="both"/>
      </w:pPr>
    </w:p>
    <w:p w14:paraId="148EC2B9" w14:textId="2CF3D3C2" w:rsidR="002E2846" w:rsidRPr="002E6552" w:rsidRDefault="00F3155E" w:rsidP="007A112C">
      <w:pPr>
        <w:pStyle w:val="NormalWeb"/>
        <w:spacing w:before="0" w:beforeAutospacing="0" w:after="0" w:afterAutospacing="0"/>
        <w:jc w:val="both"/>
      </w:pPr>
      <w:r w:rsidRPr="002E6552">
        <w:lastRenderedPageBreak/>
        <w:t>Toetus</w:t>
      </w:r>
      <w:r w:rsidR="00800C0E" w:rsidRPr="002E6552">
        <w:t xml:space="preserve">e väljamakseid teostatakse </w:t>
      </w:r>
      <w:r w:rsidR="00F36A3E">
        <w:t xml:space="preserve">tegelike kulude alusel ja </w:t>
      </w:r>
      <w:r w:rsidRPr="002E6552">
        <w:t>peale</w:t>
      </w:r>
      <w:r w:rsidR="002E2846">
        <w:t xml:space="preserve"> maksetaotluse esitamist ning tingimustel</w:t>
      </w:r>
      <w:r w:rsidR="007A112C">
        <w:t xml:space="preserve">, et </w:t>
      </w:r>
      <w:r w:rsidR="002E2846">
        <w:t>abikõlblik kulu on tekkinud ja makstud.</w:t>
      </w:r>
    </w:p>
    <w:p w14:paraId="575A402A" w14:textId="77777777" w:rsidR="00B54183" w:rsidRPr="002E6552" w:rsidRDefault="00B54183" w:rsidP="0057412C">
      <w:pPr>
        <w:pStyle w:val="NormalWeb"/>
        <w:spacing w:before="0" w:beforeAutospacing="0" w:after="0" w:afterAutospacing="0"/>
        <w:jc w:val="both"/>
      </w:pPr>
    </w:p>
    <w:p w14:paraId="3C5C6912" w14:textId="42CA599E" w:rsidR="00B54183" w:rsidRPr="002E6552" w:rsidRDefault="00C60A11" w:rsidP="0057412C">
      <w:pPr>
        <w:pStyle w:val="NormalWeb"/>
        <w:spacing w:before="0" w:beforeAutospacing="0" w:after="0" w:afterAutospacing="0"/>
        <w:jc w:val="both"/>
      </w:pPr>
      <w:r>
        <w:t>Eelnõuga nähakse ette toetuse saaja</w:t>
      </w:r>
      <w:r w:rsidR="00CF1EE0" w:rsidRPr="002E6552">
        <w:t xml:space="preserve"> poolt väljamaksete teg</w:t>
      </w:r>
      <w:r>
        <w:t xml:space="preserve">emisel esitatavad dokumendid, toetuse saaja </w:t>
      </w:r>
      <w:r w:rsidR="0010622D">
        <w:t xml:space="preserve"> ja rakendusüksuse poolt </w:t>
      </w:r>
      <w:r w:rsidR="00CF1EE0" w:rsidRPr="002E6552">
        <w:t xml:space="preserve">maksete tegemisele eelnevad tegevused ja tähtajad. </w:t>
      </w:r>
    </w:p>
    <w:p w14:paraId="303E4EB6" w14:textId="77777777" w:rsidR="00C60A11" w:rsidRDefault="00C60A11" w:rsidP="0057412C">
      <w:pPr>
        <w:pStyle w:val="Heading2"/>
        <w:rPr>
          <w:color w:val="auto"/>
        </w:rPr>
      </w:pPr>
      <w:bookmarkStart w:id="5" w:name="para19lg3"/>
      <w:bookmarkEnd w:id="5"/>
    </w:p>
    <w:p w14:paraId="615E57D5" w14:textId="77777777" w:rsidR="00F10C57" w:rsidRPr="002E6552" w:rsidRDefault="00F10C57" w:rsidP="0057412C">
      <w:pPr>
        <w:pStyle w:val="Heading2"/>
        <w:rPr>
          <w:color w:val="auto"/>
        </w:rPr>
      </w:pPr>
      <w:r w:rsidRPr="002E6552">
        <w:rPr>
          <w:color w:val="auto"/>
        </w:rPr>
        <w:t>6. peatükk</w:t>
      </w:r>
    </w:p>
    <w:p w14:paraId="7B5C7DA9" w14:textId="77777777" w:rsidR="00F10C57" w:rsidRDefault="00F10C57" w:rsidP="0057412C">
      <w:pPr>
        <w:pStyle w:val="Heading2"/>
        <w:rPr>
          <w:color w:val="auto"/>
        </w:rPr>
      </w:pPr>
      <w:r w:rsidRPr="002E6552">
        <w:rPr>
          <w:color w:val="auto"/>
        </w:rPr>
        <w:t>Toetuse saaja ning rakendusüksuse õigused ja kohustused</w:t>
      </w:r>
      <w:bookmarkStart w:id="6" w:name="ptk6"/>
      <w:bookmarkEnd w:id="6"/>
    </w:p>
    <w:p w14:paraId="264DC331" w14:textId="77777777" w:rsidR="00F36A3E" w:rsidRPr="00F36A3E" w:rsidRDefault="00F36A3E" w:rsidP="00D75E47"/>
    <w:p w14:paraId="1045FFF4" w14:textId="77777777" w:rsidR="00F10C57" w:rsidRPr="002E6552" w:rsidRDefault="003916E2" w:rsidP="0057412C">
      <w:pPr>
        <w:pStyle w:val="Heading3"/>
        <w:jc w:val="both"/>
        <w:rPr>
          <w:rStyle w:val="Strong"/>
          <w:b/>
          <w:bCs/>
          <w:color w:val="auto"/>
        </w:rPr>
      </w:pPr>
      <w:r w:rsidRPr="002E6552">
        <w:rPr>
          <w:rStyle w:val="Strong"/>
          <w:color w:val="auto"/>
        </w:rPr>
        <w:t>Peatükis</w:t>
      </w:r>
      <w:r w:rsidR="00F10C57" w:rsidRPr="002E6552">
        <w:rPr>
          <w:rStyle w:val="Strong"/>
          <w:color w:val="auto"/>
        </w:rPr>
        <w:t xml:space="preserve"> kirjeldatakse toetuse saaja kohustusi ja õigusi, rakendusüksuse õigusi ja kohustusi ning sätestatakse  finantskorrektsioonide tegemise alused. </w:t>
      </w:r>
    </w:p>
    <w:p w14:paraId="6878DC40" w14:textId="77777777" w:rsidR="00F10C57" w:rsidRPr="002E6552" w:rsidRDefault="00F10C57" w:rsidP="0057412C">
      <w:pPr>
        <w:jc w:val="both"/>
      </w:pPr>
    </w:p>
    <w:p w14:paraId="7FA66E52" w14:textId="69808A08" w:rsidR="003916E2" w:rsidRPr="002E6552" w:rsidRDefault="003916E2" w:rsidP="0057412C">
      <w:pPr>
        <w:jc w:val="both"/>
      </w:pPr>
      <w:r w:rsidRPr="002E6552">
        <w:rPr>
          <w:u w:val="single"/>
        </w:rPr>
        <w:t>Eelnõu §</w:t>
      </w:r>
      <w:r w:rsidR="002235C4" w:rsidRPr="002E6552">
        <w:rPr>
          <w:u w:val="single"/>
        </w:rPr>
        <w:t xml:space="preserve"> </w:t>
      </w:r>
      <w:r w:rsidR="00912F65">
        <w:rPr>
          <w:u w:val="single"/>
        </w:rPr>
        <w:t>2</w:t>
      </w:r>
      <w:r w:rsidR="00F36A3E">
        <w:rPr>
          <w:u w:val="single"/>
        </w:rPr>
        <w:t>4</w:t>
      </w:r>
      <w:r w:rsidRPr="002E6552">
        <w:rPr>
          <w:u w:val="single"/>
        </w:rPr>
        <w:t xml:space="preserve"> ja </w:t>
      </w:r>
      <w:r w:rsidR="0028708C" w:rsidRPr="002E6552">
        <w:rPr>
          <w:u w:val="single"/>
        </w:rPr>
        <w:t xml:space="preserve">§ </w:t>
      </w:r>
      <w:r w:rsidR="00912F65">
        <w:rPr>
          <w:u w:val="single"/>
        </w:rPr>
        <w:t>2</w:t>
      </w:r>
      <w:r w:rsidR="00F36A3E">
        <w:rPr>
          <w:u w:val="single"/>
        </w:rPr>
        <w:t>6</w:t>
      </w:r>
      <w:r w:rsidRPr="002E6552">
        <w:t xml:space="preserve"> </w:t>
      </w:r>
      <w:r w:rsidR="002235C4" w:rsidRPr="002E6552">
        <w:t>lõige 1 sätestavad</w:t>
      </w:r>
      <w:r w:rsidRPr="002E6552">
        <w:t xml:space="preserve">  </w:t>
      </w:r>
      <w:r w:rsidR="001777C7">
        <w:t xml:space="preserve">struktuuritoetuse </w:t>
      </w:r>
      <w:r w:rsidRPr="002E6552">
        <w:t xml:space="preserve">seadusest </w:t>
      </w:r>
      <w:r w:rsidR="00912F65">
        <w:t>tulenevad toetuse saaja</w:t>
      </w:r>
      <w:r w:rsidRPr="002E6552">
        <w:t xml:space="preserve"> ning </w:t>
      </w:r>
      <w:r w:rsidR="000F05C8" w:rsidRPr="002E6552">
        <w:t>rakendusüksuse kohustused.</w:t>
      </w:r>
    </w:p>
    <w:p w14:paraId="2EE32F49" w14:textId="77777777" w:rsidR="000F05C8" w:rsidRPr="002E6552" w:rsidRDefault="000F05C8" w:rsidP="0057412C">
      <w:pPr>
        <w:jc w:val="both"/>
      </w:pPr>
    </w:p>
    <w:p w14:paraId="5C99C1C9" w14:textId="27F26FCE" w:rsidR="000F05C8" w:rsidRPr="002E6552" w:rsidRDefault="000F05C8" w:rsidP="0057412C">
      <w:pPr>
        <w:jc w:val="both"/>
      </w:pPr>
      <w:r w:rsidRPr="002E6552">
        <w:t xml:space="preserve">Lisaks struktuuritoetuse seadusest tulenevatele kohustustele </w:t>
      </w:r>
      <w:r w:rsidR="00B23E52" w:rsidRPr="002E6552">
        <w:t xml:space="preserve">peab </w:t>
      </w:r>
      <w:r w:rsidR="00912F65">
        <w:t>ettevõtja</w:t>
      </w:r>
      <w:r w:rsidR="00B23E52" w:rsidRPr="002E6552">
        <w:t xml:space="preserve"> </w:t>
      </w:r>
      <w:r w:rsidR="001B1696" w:rsidRPr="002E6552">
        <w:t xml:space="preserve">näiteks </w:t>
      </w:r>
      <w:r w:rsidR="00B23E52" w:rsidRPr="002E6552">
        <w:t xml:space="preserve">rakendusüksust kirjalikult informeerima omanike ringis toimunud muutustest. </w:t>
      </w:r>
      <w:r w:rsidR="00912F65">
        <w:t xml:space="preserve">Teise olulise kohustusena saab välja tuua </w:t>
      </w:r>
      <w:r w:rsidR="002235C4" w:rsidRPr="002E6552">
        <w:t xml:space="preserve"> kohustuse esitada koos maksetaotlusega kolm võrreldavat hinnapakkumist üksteisest sõltumatutelt pakkujatelt ja pakkumise lähteülesande kirjeldust kõikide kulutuste puhul, mille korral taotleja teostab projekti elluviimiseks üheliigiliste teenuste, materiaalsete või immateriaalsete varade ostutehingu</w:t>
      </w:r>
      <w:r w:rsidR="00FE618B">
        <w:t xml:space="preserve"> summa ilma käibemaksuta on </w:t>
      </w:r>
      <w:r w:rsidR="002235C4" w:rsidRPr="002E6552">
        <w:t xml:space="preserve">5000 eurot </w:t>
      </w:r>
      <w:r w:rsidR="00912F65">
        <w:t>või rohkem</w:t>
      </w:r>
      <w:r w:rsidR="002235C4" w:rsidRPr="002E6552">
        <w:t>. Juhul kui kolme sõltumatut hinnapakkumist ei ole võimalik esitada või kui odavaimat pakkumist ei valita, tuleb taotlusele lisada sellekohane põhjendus. Konsultatsiooniteenuste sisseostmisel tuleb esitada võrreldavad hinnapakkumised kõigi ostutehingute korral.</w:t>
      </w:r>
    </w:p>
    <w:p w14:paraId="11AC13B0" w14:textId="77777777" w:rsidR="002235C4" w:rsidRPr="002E6552" w:rsidRDefault="002235C4" w:rsidP="0057412C">
      <w:pPr>
        <w:jc w:val="both"/>
      </w:pPr>
    </w:p>
    <w:p w14:paraId="117C0E59" w14:textId="77777777" w:rsidR="002235C4" w:rsidRPr="002E6552" w:rsidRDefault="002235C4" w:rsidP="0057412C">
      <w:pPr>
        <w:jc w:val="both"/>
      </w:pPr>
      <w:r w:rsidRPr="002E6552">
        <w:t>Rakendusüksuse kohustustest tuleb eraldi ära mainida järgmisi kohustusi:</w:t>
      </w:r>
    </w:p>
    <w:p w14:paraId="5F3F23C7" w14:textId="1B1F6224" w:rsidR="002235C4" w:rsidRPr="002E6552" w:rsidRDefault="002235C4" w:rsidP="0057412C">
      <w:pPr>
        <w:pStyle w:val="ListParagraph"/>
        <w:numPr>
          <w:ilvl w:val="0"/>
          <w:numId w:val="25"/>
        </w:numPr>
        <w:spacing w:line="240" w:lineRule="auto"/>
        <w:jc w:val="both"/>
        <w:rPr>
          <w:rFonts w:ascii="Times New Roman" w:hAnsi="Times New Roman"/>
          <w:sz w:val="24"/>
          <w:szCs w:val="24"/>
        </w:rPr>
      </w:pPr>
      <w:r w:rsidRPr="002E6552">
        <w:rPr>
          <w:rFonts w:ascii="Times New Roman" w:hAnsi="Times New Roman"/>
          <w:sz w:val="24"/>
          <w:szCs w:val="24"/>
        </w:rPr>
        <w:t>edastada taotlejale või toetuse saajale</w:t>
      </w:r>
      <w:r w:rsidR="00284CA3">
        <w:rPr>
          <w:rFonts w:ascii="Times New Roman" w:hAnsi="Times New Roman"/>
          <w:sz w:val="24"/>
          <w:szCs w:val="24"/>
        </w:rPr>
        <w:t xml:space="preserve"> projekti puudutavad</w:t>
      </w:r>
      <w:r w:rsidRPr="002E6552">
        <w:rPr>
          <w:rFonts w:ascii="Times New Roman" w:hAnsi="Times New Roman"/>
          <w:sz w:val="24"/>
          <w:szCs w:val="24"/>
        </w:rPr>
        <w:t xml:space="preserve"> otsused kolme tööpäeva jooksul alates otsuse vastuvõtmisest;</w:t>
      </w:r>
    </w:p>
    <w:p w14:paraId="144C7305" w14:textId="4CBF7CB1" w:rsidR="002235C4" w:rsidRDefault="002235C4" w:rsidP="002E2846">
      <w:pPr>
        <w:pStyle w:val="ListParagraph"/>
        <w:numPr>
          <w:ilvl w:val="0"/>
          <w:numId w:val="25"/>
        </w:numPr>
        <w:spacing w:line="240" w:lineRule="auto"/>
        <w:jc w:val="both"/>
        <w:rPr>
          <w:rFonts w:ascii="Times New Roman" w:hAnsi="Times New Roman"/>
          <w:sz w:val="24"/>
          <w:szCs w:val="24"/>
        </w:rPr>
      </w:pPr>
      <w:r w:rsidRPr="002E6552">
        <w:rPr>
          <w:rFonts w:ascii="Times New Roman" w:hAnsi="Times New Roman"/>
          <w:sz w:val="24"/>
          <w:szCs w:val="24"/>
        </w:rPr>
        <w:t xml:space="preserve">säilitada riigiabi </w:t>
      </w:r>
      <w:r w:rsidR="00F36A3E">
        <w:rPr>
          <w:rFonts w:ascii="Times New Roman" w:hAnsi="Times New Roman"/>
          <w:sz w:val="24"/>
          <w:szCs w:val="24"/>
        </w:rPr>
        <w:t xml:space="preserve">ja vähese tähtsusega abi </w:t>
      </w:r>
      <w:r w:rsidRPr="002E6552">
        <w:rPr>
          <w:rFonts w:ascii="Times New Roman" w:hAnsi="Times New Roman"/>
          <w:sz w:val="24"/>
          <w:szCs w:val="24"/>
        </w:rPr>
        <w:t xml:space="preserve">andmisega seotud andmed koos vajaliku teabe ja lisadokumentidega kümne aasta jooksul alates </w:t>
      </w:r>
      <w:r w:rsidR="002E2846" w:rsidRPr="002E2846">
        <w:rPr>
          <w:rFonts w:ascii="Times New Roman" w:hAnsi="Times New Roman"/>
          <w:sz w:val="24"/>
          <w:szCs w:val="24"/>
        </w:rPr>
        <w:t>viimasest toetuse maksest</w:t>
      </w:r>
      <w:r w:rsidR="00BB2EC0">
        <w:rPr>
          <w:rFonts w:ascii="Times New Roman" w:hAnsi="Times New Roman"/>
          <w:sz w:val="24"/>
          <w:szCs w:val="24"/>
        </w:rPr>
        <w:t>.</w:t>
      </w:r>
    </w:p>
    <w:p w14:paraId="1DAC2D64" w14:textId="77777777" w:rsidR="002235C4" w:rsidRPr="002E6552" w:rsidRDefault="002235C4" w:rsidP="0057412C">
      <w:pPr>
        <w:jc w:val="both"/>
      </w:pPr>
      <w:r w:rsidRPr="002E6552">
        <w:rPr>
          <w:u w:val="single"/>
        </w:rPr>
        <w:t xml:space="preserve">Eelnõu </w:t>
      </w:r>
      <w:r w:rsidR="00912F65">
        <w:rPr>
          <w:u w:val="single"/>
        </w:rPr>
        <w:t>§ 25 ja § 2</w:t>
      </w:r>
      <w:r w:rsidR="00F36A3E">
        <w:rPr>
          <w:u w:val="single"/>
        </w:rPr>
        <w:t>6</w:t>
      </w:r>
      <w:r w:rsidR="0028708C" w:rsidRPr="002E6552">
        <w:rPr>
          <w:u w:val="single"/>
        </w:rPr>
        <w:t xml:space="preserve"> lõige 2</w:t>
      </w:r>
      <w:r w:rsidR="0028708C" w:rsidRPr="002E6552">
        <w:t xml:space="preserve"> toovad välja toetuse saaja ja partneri ning rakendusüksuse õigused.</w:t>
      </w:r>
    </w:p>
    <w:p w14:paraId="7156263F" w14:textId="77777777" w:rsidR="0028708C" w:rsidRPr="002E6552" w:rsidRDefault="0028708C" w:rsidP="0057412C">
      <w:pPr>
        <w:jc w:val="both"/>
      </w:pPr>
    </w:p>
    <w:p w14:paraId="110645B0" w14:textId="77777777" w:rsidR="0028708C" w:rsidRPr="002E6552" w:rsidRDefault="004930BB" w:rsidP="0057412C">
      <w:pPr>
        <w:jc w:val="both"/>
      </w:pPr>
      <w:r>
        <w:t>T</w:t>
      </w:r>
      <w:r w:rsidRPr="002E6552">
        <w:t>oetude</w:t>
      </w:r>
      <w:r w:rsidR="00912F65">
        <w:t>s struktuuritoetus</w:t>
      </w:r>
      <w:r>
        <w:t>e seadusele</w:t>
      </w:r>
      <w:r w:rsidRPr="002E6552">
        <w:t xml:space="preserve"> </w:t>
      </w:r>
      <w:r>
        <w:t>on u</w:t>
      </w:r>
      <w:r w:rsidR="00D026FF" w:rsidRPr="002E6552">
        <w:t>ue ja ol</w:t>
      </w:r>
      <w:r>
        <w:t xml:space="preserve">ulise muudatusena  lisandunud </w:t>
      </w:r>
      <w:r w:rsidR="00D026FF" w:rsidRPr="002E6552">
        <w:t>toetuse saaja</w:t>
      </w:r>
      <w:r>
        <w:t>le</w:t>
      </w:r>
      <w:r w:rsidR="00D026FF" w:rsidRPr="002E6552">
        <w:t xml:space="preserve"> </w:t>
      </w:r>
      <w:r>
        <w:t>õigus</w:t>
      </w:r>
      <w:r w:rsidR="00D026FF" w:rsidRPr="002E6552">
        <w:t xml:space="preserve"> oma seiskohtade esitamiseks. Antud muudatus loob toetuse saajale võimaluse enne otsuse tegemist oma tegevusi ja tegevuste taustategureid selgitada ja põhjendada.</w:t>
      </w:r>
    </w:p>
    <w:p w14:paraId="38AC1BB9" w14:textId="77777777" w:rsidR="0028708C" w:rsidRPr="002E6552" w:rsidRDefault="00912F65" w:rsidP="0057412C">
      <w:pPr>
        <w:jc w:val="both"/>
      </w:pPr>
      <w:r>
        <w:t>Vastavalt eeltoodule on toetuse saajal</w:t>
      </w:r>
      <w:r w:rsidR="0028708C" w:rsidRPr="002E6552">
        <w:t xml:space="preserve"> õigus esitada oma seisukohad</w:t>
      </w:r>
      <w:r w:rsidR="00D026FF" w:rsidRPr="002E6552">
        <w:t xml:space="preserve"> enne:</w:t>
      </w:r>
    </w:p>
    <w:p w14:paraId="3DB0572F" w14:textId="77777777" w:rsidR="00D026FF" w:rsidRPr="002E6552" w:rsidRDefault="00D026FF" w:rsidP="0057412C">
      <w:pPr>
        <w:spacing w:after="200"/>
        <w:ind w:left="360"/>
        <w:contextualSpacing/>
        <w:jc w:val="both"/>
        <w:rPr>
          <w:rFonts w:eastAsiaTheme="minorHAnsi"/>
        </w:rPr>
      </w:pPr>
      <w:r w:rsidRPr="002E6552">
        <w:rPr>
          <w:rFonts w:eastAsiaTheme="minorHAnsi"/>
        </w:rPr>
        <w:t>1) ettekirjutuse tegemist;</w:t>
      </w:r>
    </w:p>
    <w:p w14:paraId="310D6AC9" w14:textId="77777777" w:rsidR="00D026FF" w:rsidRPr="002E6552" w:rsidRDefault="00D026FF" w:rsidP="0057412C">
      <w:pPr>
        <w:spacing w:after="200"/>
        <w:ind w:left="360"/>
        <w:contextualSpacing/>
        <w:jc w:val="both"/>
        <w:rPr>
          <w:rFonts w:eastAsiaTheme="minorHAnsi"/>
        </w:rPr>
      </w:pPr>
      <w:r w:rsidRPr="002E6552">
        <w:rPr>
          <w:rFonts w:eastAsiaTheme="minorHAnsi"/>
        </w:rPr>
        <w:t>2) taotluse rahuldamise otsuse kehtetuks tunnistamist või muutmist, välja arvatud juhul, kui toetuse saaja taotlus rahuldatakse täielikult;</w:t>
      </w:r>
    </w:p>
    <w:p w14:paraId="6AC66A26" w14:textId="77777777" w:rsidR="00D026FF" w:rsidRPr="002E6552" w:rsidRDefault="00D026FF" w:rsidP="0057412C">
      <w:pPr>
        <w:spacing w:after="200"/>
        <w:ind w:left="360"/>
        <w:contextualSpacing/>
        <w:jc w:val="both"/>
        <w:rPr>
          <w:rFonts w:eastAsiaTheme="minorHAnsi"/>
        </w:rPr>
      </w:pPr>
      <w:r w:rsidRPr="002E6552">
        <w:rPr>
          <w:rFonts w:eastAsiaTheme="minorHAnsi"/>
        </w:rPr>
        <w:t>3) finantskorrektsiooni otsuse tegemist.</w:t>
      </w:r>
    </w:p>
    <w:p w14:paraId="58E3186F" w14:textId="77777777" w:rsidR="00D026FF" w:rsidRPr="002E6552" w:rsidRDefault="00D026FF" w:rsidP="0057412C">
      <w:pPr>
        <w:jc w:val="both"/>
      </w:pPr>
    </w:p>
    <w:p w14:paraId="1B2D3211" w14:textId="45BC34F5" w:rsidR="00396B91" w:rsidRPr="002E6552" w:rsidRDefault="00396B91" w:rsidP="0057412C">
      <w:pPr>
        <w:jc w:val="both"/>
        <w:rPr>
          <w:rStyle w:val="Strong"/>
          <w:b w:val="0"/>
        </w:rPr>
      </w:pPr>
      <w:r w:rsidRPr="002E6552">
        <w:rPr>
          <w:rStyle w:val="Strong"/>
          <w:b w:val="0"/>
        </w:rPr>
        <w:t>Toetuse saajal on õigus saada rakendusüksuselt informatsiooni ja nõuandeid, mis on seotud õigusaktides sätestatud nõuete ja toetuse saaja kohustuste täitmisega. Juhul kui toetuse</w:t>
      </w:r>
      <w:r w:rsidR="0010622D">
        <w:rPr>
          <w:rStyle w:val="Strong"/>
          <w:b w:val="0"/>
        </w:rPr>
        <w:t xml:space="preserve"> saajal tekib kahtlus, </w:t>
      </w:r>
      <w:r w:rsidR="00284CA3">
        <w:rPr>
          <w:rStyle w:val="Strong"/>
          <w:b w:val="0"/>
        </w:rPr>
        <w:t>et</w:t>
      </w:r>
      <w:r w:rsidR="0010622D">
        <w:rPr>
          <w:rStyle w:val="Strong"/>
          <w:b w:val="0"/>
        </w:rPr>
        <w:t xml:space="preserve"> ta pole</w:t>
      </w:r>
      <w:r w:rsidRPr="002E6552">
        <w:rPr>
          <w:rStyle w:val="Strong"/>
          <w:b w:val="0"/>
        </w:rPr>
        <w:t xml:space="preserve"> nõuetest ja määrusega sätestatud tingimustest õigest</w:t>
      </w:r>
      <w:r w:rsidR="0010622D">
        <w:rPr>
          <w:rStyle w:val="Strong"/>
          <w:b w:val="0"/>
        </w:rPr>
        <w:t>i</w:t>
      </w:r>
      <w:r w:rsidRPr="002E6552">
        <w:rPr>
          <w:rStyle w:val="Strong"/>
          <w:b w:val="0"/>
        </w:rPr>
        <w:t xml:space="preserve"> aru saanud, siis edaspidiste ebakõlade ja võimalikke rikkumiste vältimiseks</w:t>
      </w:r>
      <w:r w:rsidR="0010622D">
        <w:rPr>
          <w:rStyle w:val="Strong"/>
          <w:b w:val="0"/>
        </w:rPr>
        <w:t>,</w:t>
      </w:r>
      <w:r w:rsidR="00912F65">
        <w:rPr>
          <w:rStyle w:val="Strong"/>
          <w:b w:val="0"/>
        </w:rPr>
        <w:t xml:space="preserve"> peab toetuse saaja</w:t>
      </w:r>
      <w:r w:rsidRPr="002E6552">
        <w:rPr>
          <w:rStyle w:val="Strong"/>
          <w:b w:val="0"/>
        </w:rPr>
        <w:t xml:space="preserve"> konsulteerima rakendusüksusega. Rakendusüksus võib vajadusel pöörduda määruse tõlgendamiseks rakendusasutuse poole.</w:t>
      </w:r>
    </w:p>
    <w:p w14:paraId="2FE6848D" w14:textId="77777777" w:rsidR="00F10C57" w:rsidRPr="002E6552" w:rsidRDefault="00F10C57" w:rsidP="0057412C">
      <w:pPr>
        <w:pStyle w:val="Heading3"/>
        <w:jc w:val="both"/>
        <w:rPr>
          <w:rStyle w:val="Strong"/>
          <w:b/>
          <w:bCs/>
          <w:color w:val="auto"/>
          <w:u w:val="single"/>
        </w:rPr>
      </w:pPr>
    </w:p>
    <w:p w14:paraId="1AB7F799" w14:textId="77777777" w:rsidR="001B1696" w:rsidRDefault="00912F65" w:rsidP="0057412C">
      <w:pPr>
        <w:tabs>
          <w:tab w:val="left" w:pos="426"/>
        </w:tabs>
        <w:jc w:val="both"/>
        <w:outlineLvl w:val="2"/>
        <w:rPr>
          <w:lang w:eastAsia="et-EE"/>
        </w:rPr>
      </w:pPr>
      <w:bookmarkStart w:id="7" w:name="para22lg1p1"/>
      <w:bookmarkStart w:id="8" w:name="para22lg1p9"/>
      <w:bookmarkStart w:id="9" w:name="para22lg2"/>
      <w:bookmarkStart w:id="10" w:name="2edc1d44-afac-467f-b2e5-c69e1bf6589e"/>
      <w:bookmarkEnd w:id="7"/>
      <w:bookmarkEnd w:id="8"/>
      <w:bookmarkEnd w:id="9"/>
      <w:bookmarkEnd w:id="10"/>
      <w:r>
        <w:rPr>
          <w:u w:val="single"/>
          <w:lang w:eastAsia="et-EE"/>
        </w:rPr>
        <w:t>Eelnõu § 32</w:t>
      </w:r>
      <w:r w:rsidR="00F10C57" w:rsidRPr="002E6552">
        <w:rPr>
          <w:lang w:eastAsia="et-EE"/>
        </w:rPr>
        <w:t xml:space="preserve"> kohaselt kohaldatakse finantskorrektsioone vastavalt struktuuritoetuse seaduse </w:t>
      </w:r>
      <w:r w:rsidRPr="00912F65">
        <w:rPr>
          <w:lang w:eastAsia="et-EE"/>
        </w:rPr>
        <w:t>seaduse §-des 45–47 ning ühendmäärusele §-des 21–23 sätestatule</w:t>
      </w:r>
      <w:r w:rsidR="00F10C57" w:rsidRPr="002E6552">
        <w:rPr>
          <w:lang w:eastAsia="et-EE"/>
        </w:rPr>
        <w:t>.</w:t>
      </w:r>
    </w:p>
    <w:p w14:paraId="56509602" w14:textId="77777777" w:rsidR="001B1696" w:rsidRDefault="001B1696" w:rsidP="0057412C">
      <w:pPr>
        <w:tabs>
          <w:tab w:val="left" w:pos="426"/>
        </w:tabs>
        <w:jc w:val="both"/>
        <w:outlineLvl w:val="2"/>
        <w:rPr>
          <w:lang w:eastAsia="et-EE"/>
        </w:rPr>
      </w:pPr>
    </w:p>
    <w:p w14:paraId="3977EEEA" w14:textId="6C97A7A3" w:rsidR="00F10C57" w:rsidRPr="002E6552" w:rsidRDefault="00F10C57" w:rsidP="0057412C">
      <w:pPr>
        <w:tabs>
          <w:tab w:val="left" w:pos="426"/>
        </w:tabs>
        <w:jc w:val="both"/>
        <w:outlineLvl w:val="2"/>
        <w:rPr>
          <w:rFonts w:eastAsia="Arial Unicode MS"/>
        </w:rPr>
      </w:pPr>
      <w:r w:rsidRPr="002E6552">
        <w:rPr>
          <w:lang w:eastAsia="et-EE"/>
        </w:rPr>
        <w:t>Eelnõu mõistes on f</w:t>
      </w:r>
      <w:r w:rsidRPr="002E6552">
        <w:t xml:space="preserve">inantskorrektsioon toetuse andmise üksikotsuses – toetuse taotluse rahuldamise otsuses, käskkirjas, rahastamisvahendi rakendamislepingus või ühises tegevuskavas - nimetatud toetuse vähendamine või tühistamine. Vähendatav summa saadakse toetuse andmise üksikotsuses märgitud toetuse protsendi alusel. </w:t>
      </w:r>
    </w:p>
    <w:p w14:paraId="49154ABE" w14:textId="77777777" w:rsidR="00F10C57" w:rsidRPr="002E6552" w:rsidRDefault="00F10C57" w:rsidP="0057412C">
      <w:pPr>
        <w:jc w:val="both"/>
        <w:rPr>
          <w:lang w:eastAsia="ar-SA"/>
        </w:rPr>
      </w:pPr>
    </w:p>
    <w:p w14:paraId="50E13CA7" w14:textId="77777777" w:rsidR="00F10C57" w:rsidRPr="002E6552" w:rsidRDefault="00F10C57" w:rsidP="0057412C">
      <w:pPr>
        <w:jc w:val="both"/>
        <w:rPr>
          <w:b/>
          <w:lang w:eastAsia="ar-SA"/>
        </w:rPr>
      </w:pPr>
      <w:r w:rsidRPr="002E6552">
        <w:rPr>
          <w:b/>
          <w:lang w:eastAsia="ar-SA"/>
        </w:rPr>
        <w:t>3. Eelnõu vastavus EL õigusele</w:t>
      </w:r>
    </w:p>
    <w:p w14:paraId="6BE0C681" w14:textId="77777777" w:rsidR="00F10C57" w:rsidRPr="002E6552" w:rsidRDefault="00F10C57" w:rsidP="0057412C">
      <w:pPr>
        <w:jc w:val="both"/>
        <w:rPr>
          <w:lang w:eastAsia="ar-SA"/>
        </w:rPr>
      </w:pPr>
      <w:r w:rsidRPr="002E6552">
        <w:rPr>
          <w:lang w:eastAsia="ar-SA"/>
        </w:rPr>
        <w:t>Käesoleva eelnõ</w:t>
      </w:r>
      <w:r w:rsidR="008B2FCD">
        <w:rPr>
          <w:lang w:eastAsia="ar-SA"/>
        </w:rPr>
        <w:t>u aluseks on struktuuritoetuse seadus</w:t>
      </w:r>
      <w:r w:rsidRPr="002E6552">
        <w:rPr>
          <w:lang w:eastAsia="ar-SA"/>
        </w:rPr>
        <w:t xml:space="preserve"> ja selle alusel kehtestatud Vabariigi Valitsuse määrused. </w:t>
      </w:r>
    </w:p>
    <w:p w14:paraId="292C3C06" w14:textId="77777777" w:rsidR="00F10C57" w:rsidRPr="002E6552" w:rsidRDefault="00F10C57" w:rsidP="0057412C">
      <w:pPr>
        <w:jc w:val="both"/>
        <w:rPr>
          <w:lang w:eastAsia="ar-SA"/>
        </w:rPr>
      </w:pPr>
    </w:p>
    <w:p w14:paraId="21078115" w14:textId="77777777" w:rsidR="00F10C57" w:rsidRPr="002E6552" w:rsidRDefault="00F10C57" w:rsidP="0057412C">
      <w:pPr>
        <w:jc w:val="both"/>
        <w:rPr>
          <w:lang w:eastAsia="ar-SA"/>
        </w:rPr>
      </w:pPr>
      <w:r w:rsidRPr="002E6552">
        <w:rPr>
          <w:lang w:eastAsia="ar-SA"/>
        </w:rPr>
        <w:t>Käesolev eelnõu on kooskõlas ka struktuuritoetuse seaduse aluseks olevate järgmiste E</w:t>
      </w:r>
      <w:r w:rsidR="00D310D5" w:rsidRPr="002E6552">
        <w:rPr>
          <w:lang w:eastAsia="ar-SA"/>
        </w:rPr>
        <w:t xml:space="preserve">uroopa Liidu </w:t>
      </w:r>
      <w:r w:rsidRPr="002E6552">
        <w:rPr>
          <w:lang w:eastAsia="ar-SA"/>
        </w:rPr>
        <w:t>määrustega:</w:t>
      </w:r>
    </w:p>
    <w:p w14:paraId="37EFC05F" w14:textId="77777777" w:rsidR="00FA1CDD" w:rsidRPr="002E6552" w:rsidRDefault="00FA1CDD" w:rsidP="0057412C">
      <w:pPr>
        <w:jc w:val="both"/>
        <w:rPr>
          <w:lang w:eastAsia="ar-SA"/>
        </w:rPr>
      </w:pPr>
    </w:p>
    <w:p w14:paraId="03B3C9C4" w14:textId="77777777" w:rsidR="00F10C57" w:rsidRDefault="00F10C57" w:rsidP="0057412C">
      <w:pPr>
        <w:pStyle w:val="ListParagraph"/>
        <w:numPr>
          <w:ilvl w:val="0"/>
          <w:numId w:val="21"/>
        </w:numPr>
        <w:spacing w:line="240" w:lineRule="auto"/>
        <w:jc w:val="both"/>
        <w:rPr>
          <w:rFonts w:ascii="Times New Roman" w:hAnsi="Times New Roman"/>
          <w:sz w:val="24"/>
          <w:szCs w:val="24"/>
          <w:lang w:eastAsia="ar-SA"/>
        </w:rPr>
      </w:pPr>
      <w:r w:rsidRPr="002E6552">
        <w:rPr>
          <w:rFonts w:ascii="Times New Roman" w:hAnsi="Times New Roman"/>
          <w:sz w:val="24"/>
          <w:szCs w:val="24"/>
          <w:lang w:eastAsia="ar-SA"/>
        </w:rPr>
        <w:t xml:space="preserve">Euroopa Parlamendi ja nõukogu määrus (EL) nr 1303/2013, millega kehtestatakse ühissätted ühisesse strateegilisse raamistikku kuuluvate fondide – Euroopa Regionaalarengu Fondi, Euroopa Sotsiaalfondi, Ühtekuuluvusfondi, Maaelu Arengu Euroopa Põllumajandusfondi ja Euroopa Merendus- ja Kalandusfondi – kohta, nähakse ette üldsätted Euroopa Regionaalarengu Fondi, Euroopa Sotsiaalfondi,  Ühtekuuluvusfondi ja Euroopa Merendus- ja Kalandusfondi kohta ning tunnistatakse kehtetuks nõukogu määrus (EÜ) nr 1083/2006; </w:t>
      </w:r>
    </w:p>
    <w:p w14:paraId="1106FB0C" w14:textId="77777777" w:rsidR="001B1696" w:rsidRPr="002E6552" w:rsidRDefault="001B1696" w:rsidP="0057412C">
      <w:pPr>
        <w:pStyle w:val="ListParagraph"/>
        <w:spacing w:line="240" w:lineRule="auto"/>
        <w:jc w:val="both"/>
        <w:rPr>
          <w:rFonts w:ascii="Times New Roman" w:hAnsi="Times New Roman"/>
          <w:sz w:val="24"/>
          <w:szCs w:val="24"/>
          <w:lang w:eastAsia="ar-SA"/>
        </w:rPr>
      </w:pPr>
    </w:p>
    <w:p w14:paraId="23502219" w14:textId="77777777" w:rsidR="00FA1CDD" w:rsidRDefault="00FA1CDD" w:rsidP="0057412C">
      <w:pPr>
        <w:pStyle w:val="ListParagraph"/>
        <w:numPr>
          <w:ilvl w:val="0"/>
          <w:numId w:val="21"/>
        </w:numPr>
        <w:spacing w:line="240" w:lineRule="auto"/>
        <w:jc w:val="both"/>
        <w:rPr>
          <w:rFonts w:ascii="Times New Roman" w:hAnsi="Times New Roman"/>
          <w:sz w:val="24"/>
          <w:szCs w:val="24"/>
          <w:lang w:eastAsia="ar-SA"/>
        </w:rPr>
      </w:pPr>
      <w:r w:rsidRPr="002E6552">
        <w:rPr>
          <w:rFonts w:ascii="Times New Roman" w:hAnsi="Times New Roman"/>
          <w:sz w:val="24"/>
          <w:szCs w:val="24"/>
          <w:lang w:eastAsia="ar-SA"/>
        </w:rPr>
        <w:t>Euroopa Parlamendi ja nõukogu määrus (EL) nr 1301/2013, 17. detsember 2013, mis käsitleb Euroopa Regionaalarengu Fondi ja majanduskasvu ja tööhõivesse investeerimise eesmärgiga seonduvaid erisätteid ning millega tunnistatakse kehtetuks määrus (EÜ) nr 1080/2006</w:t>
      </w:r>
      <w:r w:rsidR="005C0F39" w:rsidRPr="002E6552">
        <w:rPr>
          <w:rFonts w:ascii="Times New Roman" w:hAnsi="Times New Roman"/>
          <w:sz w:val="24"/>
          <w:szCs w:val="24"/>
          <w:lang w:eastAsia="ar-SA"/>
        </w:rPr>
        <w:t>;</w:t>
      </w:r>
    </w:p>
    <w:p w14:paraId="6473729D" w14:textId="77777777" w:rsidR="001B1696" w:rsidRPr="001B1696" w:rsidRDefault="001B1696" w:rsidP="0057412C">
      <w:pPr>
        <w:pStyle w:val="ListParagraph"/>
        <w:spacing w:line="240" w:lineRule="auto"/>
        <w:rPr>
          <w:rFonts w:ascii="Times New Roman" w:hAnsi="Times New Roman"/>
          <w:sz w:val="24"/>
          <w:szCs w:val="24"/>
          <w:lang w:eastAsia="ar-SA"/>
        </w:rPr>
      </w:pPr>
    </w:p>
    <w:p w14:paraId="5438CDE8" w14:textId="77777777" w:rsidR="005C0F39" w:rsidRDefault="00D310D5" w:rsidP="0057412C">
      <w:pPr>
        <w:pStyle w:val="ListParagraph"/>
        <w:numPr>
          <w:ilvl w:val="0"/>
          <w:numId w:val="21"/>
        </w:numPr>
        <w:spacing w:line="240" w:lineRule="auto"/>
        <w:jc w:val="both"/>
        <w:rPr>
          <w:rFonts w:ascii="Times New Roman" w:hAnsi="Times New Roman"/>
          <w:sz w:val="24"/>
          <w:szCs w:val="24"/>
          <w:lang w:eastAsia="ar-SA"/>
        </w:rPr>
      </w:pPr>
      <w:r w:rsidRPr="002E6552">
        <w:rPr>
          <w:rFonts w:ascii="Times New Roman" w:hAnsi="Times New Roman"/>
          <w:sz w:val="24"/>
          <w:szCs w:val="24"/>
          <w:lang w:eastAsia="ar-SA"/>
        </w:rPr>
        <w:t>Euroopa Komisjoni määrus (EL) nr 651/2014 ELi aluslepingu artiklite 107 ja 108 kohaldamise kohta, millega teatavat liiki abi tunnistatakse siseturuga kokkusobivaks;</w:t>
      </w:r>
    </w:p>
    <w:p w14:paraId="0072C99A" w14:textId="77777777" w:rsidR="009341AA" w:rsidRPr="009341AA" w:rsidRDefault="009341AA" w:rsidP="0057412C">
      <w:pPr>
        <w:pStyle w:val="ListParagraph"/>
        <w:spacing w:line="240" w:lineRule="auto"/>
        <w:rPr>
          <w:rFonts w:ascii="Times New Roman" w:hAnsi="Times New Roman"/>
          <w:sz w:val="24"/>
          <w:szCs w:val="24"/>
          <w:lang w:eastAsia="ar-SA"/>
        </w:rPr>
      </w:pPr>
    </w:p>
    <w:p w14:paraId="2240194C" w14:textId="77777777" w:rsidR="00D310D5" w:rsidRPr="002E6552" w:rsidRDefault="00D310D5" w:rsidP="0057412C">
      <w:pPr>
        <w:pStyle w:val="ListParagraph"/>
        <w:numPr>
          <w:ilvl w:val="0"/>
          <w:numId w:val="21"/>
        </w:numPr>
        <w:spacing w:line="240" w:lineRule="auto"/>
        <w:jc w:val="both"/>
        <w:rPr>
          <w:rFonts w:ascii="Times New Roman" w:hAnsi="Times New Roman"/>
          <w:sz w:val="24"/>
          <w:szCs w:val="24"/>
          <w:lang w:eastAsia="ar-SA"/>
        </w:rPr>
      </w:pPr>
      <w:r w:rsidRPr="002E6552">
        <w:rPr>
          <w:rFonts w:ascii="Times New Roman" w:hAnsi="Times New Roman"/>
          <w:sz w:val="24"/>
          <w:szCs w:val="24"/>
          <w:lang w:eastAsia="ar-SA"/>
        </w:rPr>
        <w:t>Euroopa Komisjoni määruse (EL) nr 1407/2013, milles käsitletakse Euroopa Liidu toimimise lepingu artiklite 107 ja 108 kohaldamist vähese tähtsusega abi suhtes.</w:t>
      </w:r>
    </w:p>
    <w:p w14:paraId="10172E30" w14:textId="77777777" w:rsidR="00F10C57" w:rsidRPr="002E6552" w:rsidRDefault="00F10C57" w:rsidP="0057412C">
      <w:pPr>
        <w:jc w:val="both"/>
        <w:rPr>
          <w:lang w:eastAsia="ar-SA"/>
        </w:rPr>
      </w:pPr>
    </w:p>
    <w:p w14:paraId="6453960A" w14:textId="77777777" w:rsidR="00F10C57" w:rsidRPr="002E6552" w:rsidRDefault="00F10C57" w:rsidP="0057412C">
      <w:pPr>
        <w:jc w:val="both"/>
        <w:rPr>
          <w:b/>
          <w:lang w:eastAsia="ar-SA"/>
        </w:rPr>
      </w:pPr>
      <w:r w:rsidRPr="002E6552">
        <w:rPr>
          <w:b/>
          <w:lang w:eastAsia="ar-SA"/>
        </w:rPr>
        <w:t>4. Määruse mõjud</w:t>
      </w:r>
    </w:p>
    <w:p w14:paraId="75AFFD15" w14:textId="2EA6B3E4" w:rsidR="00C77658" w:rsidRDefault="00F10C57" w:rsidP="0057412C">
      <w:pPr>
        <w:pStyle w:val="BodyText"/>
        <w:spacing w:after="120"/>
        <w:rPr>
          <w:noProof/>
        </w:rPr>
      </w:pPr>
      <w:r w:rsidRPr="002E6552">
        <w:rPr>
          <w:noProof/>
        </w:rPr>
        <w:t>Eelnõu määru</w:t>
      </w:r>
      <w:r w:rsidR="002E6552">
        <w:rPr>
          <w:noProof/>
        </w:rPr>
        <w:t>sena jõustumi</w:t>
      </w:r>
      <w:r w:rsidR="00125338">
        <w:rPr>
          <w:noProof/>
        </w:rPr>
        <w:t>ne aitab</w:t>
      </w:r>
      <w:r w:rsidR="002E6552">
        <w:rPr>
          <w:noProof/>
        </w:rPr>
        <w:t xml:space="preserve"> Eesti </w:t>
      </w:r>
      <w:r w:rsidR="00C77658">
        <w:rPr>
          <w:noProof/>
        </w:rPr>
        <w:t xml:space="preserve">VKEst </w:t>
      </w:r>
      <w:r w:rsidR="002E6552">
        <w:rPr>
          <w:noProof/>
        </w:rPr>
        <w:t>ettevõtjatel</w:t>
      </w:r>
      <w:r w:rsidR="00C77658">
        <w:rPr>
          <w:noProof/>
        </w:rPr>
        <w:t xml:space="preserve"> strateegilise planeerimise kaasabil tõusta väärtusahela</w:t>
      </w:r>
      <w:r w:rsidR="00B24553">
        <w:rPr>
          <w:noProof/>
        </w:rPr>
        <w:t>s</w:t>
      </w:r>
      <w:r w:rsidR="00C77658">
        <w:rPr>
          <w:noProof/>
        </w:rPr>
        <w:t xml:space="preserve"> ja läbi selle saavutada paremaid majandustulemusi. Otseselt aitab eelnõu ettevõtjatel rakendada kõrgemat lisandväärtust loovaid ärimudele</w:t>
      </w:r>
      <w:r w:rsidR="00A8483E">
        <w:rPr>
          <w:noProof/>
        </w:rPr>
        <w:t xml:space="preserve">id, arendada välja uusi ja kõrge lisandväärusega tooteid ja teenuseid ning arendada ettevõttesiseseid arendus-, personaliarendus-, müügi- ja turundus-; tootmis- ja teenindusprotsesse. </w:t>
      </w:r>
    </w:p>
    <w:p w14:paraId="6D53B4FD" w14:textId="77777777" w:rsidR="0018301D" w:rsidRDefault="00A8483E" w:rsidP="0057412C">
      <w:pPr>
        <w:pStyle w:val="BodyText"/>
        <w:spacing w:after="120"/>
        <w:rPr>
          <w:noProof/>
        </w:rPr>
      </w:pPr>
      <w:r>
        <w:rPr>
          <w:noProof/>
        </w:rPr>
        <w:t xml:space="preserve">Antud eelnõu on osa ettevõtete arenguprogrammist. Toetuse taotlemise eelduseks on ettevõtja arenguplaan. Ettevõtja arenguplaan on ettevõtja strateegiline pikaajaline tegevuskava. </w:t>
      </w:r>
    </w:p>
    <w:p w14:paraId="3F533ED4" w14:textId="77777777" w:rsidR="00C77658" w:rsidRDefault="00A8483E" w:rsidP="0057412C">
      <w:pPr>
        <w:pStyle w:val="BodyText"/>
        <w:spacing w:after="120"/>
        <w:rPr>
          <w:noProof/>
        </w:rPr>
      </w:pPr>
      <w:r>
        <w:rPr>
          <w:noProof/>
        </w:rPr>
        <w:t>Arenguplaani koostamine koostöös rakendusüksusega ja rakendusüksuse poolt pakutavate lisateenustega aitab ühtlasi tõsta ka Eesti ettevõt</w:t>
      </w:r>
      <w:r w:rsidR="0018301D">
        <w:rPr>
          <w:noProof/>
        </w:rPr>
        <w:t xml:space="preserve">jate tänaseid strateegilise planeerimise ja juhtimise tegevuste kvaliteeti. </w:t>
      </w:r>
    </w:p>
    <w:p w14:paraId="779E1AA9" w14:textId="77777777" w:rsidR="00125338" w:rsidRDefault="0018301D" w:rsidP="0057412C">
      <w:pPr>
        <w:pStyle w:val="BodyText"/>
        <w:spacing w:after="120"/>
        <w:rPr>
          <w:noProof/>
        </w:rPr>
      </w:pPr>
      <w:r>
        <w:rPr>
          <w:noProof/>
        </w:rPr>
        <w:lastRenderedPageBreak/>
        <w:t>Lisaks on suur hulk eelnõuga rahastatavatest tegevustest nõustamis- ja nõuandeteenuste sisseostmine</w:t>
      </w:r>
      <w:r w:rsidR="005D5038">
        <w:rPr>
          <w:noProof/>
        </w:rPr>
        <w:t>, sealhulgas toote- ja teenusearenduseks vajaminevate tegevuste sisseostmine</w:t>
      </w:r>
      <w:r>
        <w:rPr>
          <w:noProof/>
        </w:rPr>
        <w:t xml:space="preserve">. Sellest tulenevalt aitab eelnõu kaasa ka </w:t>
      </w:r>
      <w:r w:rsidR="005D5038">
        <w:rPr>
          <w:noProof/>
        </w:rPr>
        <w:t>näiteks koostöö suhete tekkimisele ülikoolide, teadusasutuste, inseneri- ja disainibüroodega, tõhustades ja initseerides sellega teadmiste ja tehnoloogiasiiret.</w:t>
      </w:r>
    </w:p>
    <w:p w14:paraId="0771C8D3" w14:textId="7BB7FF28" w:rsidR="00942E14" w:rsidRDefault="00942E14" w:rsidP="0057412C">
      <w:pPr>
        <w:pStyle w:val="BodyText"/>
        <w:spacing w:after="120"/>
        <w:rPr>
          <w:noProof/>
        </w:rPr>
      </w:pPr>
      <w:r w:rsidRPr="00942E14">
        <w:rPr>
          <w:noProof/>
        </w:rPr>
        <w:t>Määrusel puudub otsene mõju HÕNTE § 46 lg 1 punktides 1, 2, 5, 6 ja 7</w:t>
      </w:r>
      <w:r w:rsidR="00B013B7">
        <w:rPr>
          <w:noProof/>
        </w:rPr>
        <w:t xml:space="preserve"> sätestatule. Määrusel on otsene</w:t>
      </w:r>
      <w:r w:rsidRPr="00942E14">
        <w:rPr>
          <w:noProof/>
        </w:rPr>
        <w:t xml:space="preserve"> mõju majandusele, </w:t>
      </w:r>
      <w:r w:rsidR="0024184B">
        <w:rPr>
          <w:noProof/>
        </w:rPr>
        <w:t>aidates Eesti ettevõtjatel</w:t>
      </w:r>
      <w:r w:rsidR="00B013B7">
        <w:rPr>
          <w:noProof/>
        </w:rPr>
        <w:t xml:space="preserve"> suurendada oma rahvusvahelist </w:t>
      </w:r>
      <w:r w:rsidRPr="00942E14">
        <w:rPr>
          <w:noProof/>
        </w:rPr>
        <w:t>konkurentsivõime</w:t>
      </w:r>
      <w:r w:rsidR="00B013B7">
        <w:rPr>
          <w:noProof/>
        </w:rPr>
        <w:t xml:space="preserve">t ja tõusta väärtusahelas. </w:t>
      </w:r>
      <w:r w:rsidR="0024184B">
        <w:rPr>
          <w:noProof/>
        </w:rPr>
        <w:t>Määruse kaasabil muudavad ettevõtjad oma senised tegevused, sealhulgas ärimudeli, tooted ja teenused, protsessid keerukamaks ning nimetatud muutuste tulemusel saavutavad parema</w:t>
      </w:r>
      <w:r w:rsidR="00B24553">
        <w:rPr>
          <w:noProof/>
        </w:rPr>
        <w:t>id majandustulemusi</w:t>
      </w:r>
      <w:r w:rsidR="0024184B">
        <w:rPr>
          <w:noProof/>
        </w:rPr>
        <w:t xml:space="preserve">. Ettevõtjate paremate majandustukemustega kaasneb üldjuhul ka suurem maksutulu ja üldine ühiskonna heaolu paranemine. Teise olulise aspektina saab välja tuua selle, et üheks määruse sihtrühmaks on valitud tööstussektor. Vastavalt EK </w:t>
      </w:r>
      <w:r w:rsidR="00C77658">
        <w:rPr>
          <w:noProof/>
        </w:rPr>
        <w:t xml:space="preserve">uuringutele on tööstussektoril oluline roll </w:t>
      </w:r>
      <w:r w:rsidR="00B24553">
        <w:rPr>
          <w:noProof/>
        </w:rPr>
        <w:t xml:space="preserve">arengutele </w:t>
      </w:r>
      <w:r w:rsidR="00C77658">
        <w:rPr>
          <w:noProof/>
        </w:rPr>
        <w:t>muud</w:t>
      </w:r>
      <w:r w:rsidR="00B24553">
        <w:rPr>
          <w:noProof/>
        </w:rPr>
        <w:t>es sektorites</w:t>
      </w:r>
      <w:r w:rsidR="00C77658">
        <w:rPr>
          <w:noProof/>
        </w:rPr>
        <w:t xml:space="preserve">. </w:t>
      </w:r>
      <w:r w:rsidR="0024184B">
        <w:rPr>
          <w:noProof/>
        </w:rPr>
        <w:t xml:space="preserve">  </w:t>
      </w:r>
      <w:r w:rsidRPr="00942E14">
        <w:rPr>
          <w:noProof/>
        </w:rPr>
        <w:t>Määrusel on mõju elu- ja looduskeskkonnale kasvuala – ressursside väärindamine – kaudu.</w:t>
      </w:r>
    </w:p>
    <w:p w14:paraId="3331EAD8" w14:textId="77777777" w:rsidR="005D5038" w:rsidRDefault="005D5038" w:rsidP="0057412C">
      <w:pPr>
        <w:jc w:val="both"/>
        <w:rPr>
          <w:u w:val="single"/>
          <w:lang w:eastAsia="ar-SA"/>
        </w:rPr>
      </w:pPr>
    </w:p>
    <w:p w14:paraId="1D0B300C" w14:textId="77777777" w:rsidR="005D5038" w:rsidRPr="00006253" w:rsidRDefault="005D5038" w:rsidP="00D75E47">
      <w:pPr>
        <w:jc w:val="both"/>
        <w:rPr>
          <w:b/>
        </w:rPr>
      </w:pPr>
      <w:r w:rsidRPr="00006253">
        <w:rPr>
          <w:b/>
        </w:rPr>
        <w:t>5. Määruse kooskõla seirekomisjoni valikukriteeriumitega</w:t>
      </w:r>
    </w:p>
    <w:p w14:paraId="513EEC17" w14:textId="77777777" w:rsidR="005D5038" w:rsidRDefault="005D5038">
      <w:pPr>
        <w:jc w:val="both"/>
      </w:pPr>
    </w:p>
    <w:p w14:paraId="75F3FCE1" w14:textId="77777777" w:rsidR="005D5038" w:rsidRPr="00644FC3" w:rsidRDefault="005D5038">
      <w:pPr>
        <w:jc w:val="both"/>
        <w:rPr>
          <w:u w:val="single"/>
        </w:rPr>
      </w:pPr>
      <w:r w:rsidRPr="00644FC3">
        <w:rPr>
          <w:u w:val="single"/>
        </w:rPr>
        <w:t>Projekti mõju meetme eesmärkide saavutamisele</w:t>
      </w:r>
    </w:p>
    <w:p w14:paraId="2C392B5E" w14:textId="299E07FA" w:rsidR="005D5038" w:rsidRDefault="005D5038">
      <w:pPr>
        <w:jc w:val="both"/>
      </w:pPr>
      <w:r>
        <w:t xml:space="preserve">Projekti mõju meetme eesmärkide saavutamisele hinnatakse </w:t>
      </w:r>
      <w:r w:rsidR="00485C86">
        <w:t>hindamiskriteeriumis 1 (§ 18 lg 6 p 1</w:t>
      </w:r>
      <w:r>
        <w:t xml:space="preserve">). </w:t>
      </w:r>
      <w:r w:rsidR="00485C86">
        <w:t>Projekti mõju hindamiskriteerium on kõige suurema osakaaluga hindamiskriteerium. Teisisõnu, kõige olulisem kriteerium, mis mõjutab rahastamisotsust.</w:t>
      </w:r>
      <w:r w:rsidR="001777C7">
        <w:t xml:space="preserve"> Antud kriteeriumis hinnatakse kas ja kuidas projekt ja ettevõtja arenguplaan tervikuna panustab rakenduskava eesmärgi -</w:t>
      </w:r>
      <w:r w:rsidR="001777C7" w:rsidRPr="001777C7">
        <w:t>Eesti ettevõtted pakuvad uuenduslikke kõrge lisandväärtusega tooteid ja teenuseid</w:t>
      </w:r>
      <w:r w:rsidR="001777C7">
        <w:t xml:space="preserve"> - täitmisesse</w:t>
      </w:r>
      <w:r w:rsidR="001777C7" w:rsidRPr="001777C7">
        <w:t>.</w:t>
      </w:r>
    </w:p>
    <w:p w14:paraId="284170B8" w14:textId="77777777" w:rsidR="005D5038" w:rsidRDefault="005D5038">
      <w:pPr>
        <w:jc w:val="both"/>
      </w:pPr>
    </w:p>
    <w:p w14:paraId="718E05D4" w14:textId="77777777" w:rsidR="005D5038" w:rsidRPr="00644FC3" w:rsidRDefault="005D5038">
      <w:pPr>
        <w:jc w:val="both"/>
        <w:rPr>
          <w:u w:val="single"/>
        </w:rPr>
      </w:pPr>
      <w:r w:rsidRPr="00644FC3">
        <w:rPr>
          <w:u w:val="single"/>
        </w:rPr>
        <w:t>Projekti põhjendatus</w:t>
      </w:r>
    </w:p>
    <w:p w14:paraId="70827EB0" w14:textId="77777777" w:rsidR="005D5038" w:rsidRDefault="005D5038">
      <w:pPr>
        <w:jc w:val="both"/>
      </w:pPr>
      <w:r>
        <w:t xml:space="preserve">Projekti põhjendatust hinnatakse hindamiskriteeriumis </w:t>
      </w:r>
      <w:r w:rsidR="00485C86">
        <w:t>2</w:t>
      </w:r>
      <w:r w:rsidR="00644FC3">
        <w:t xml:space="preserve"> (§ </w:t>
      </w:r>
      <w:r w:rsidR="00485C86">
        <w:t>18 lg 6 p 2).</w:t>
      </w:r>
      <w:r w:rsidR="00644FC3">
        <w:t xml:space="preserve"> Projekti põhjendatusega seotud hindamiskriteerium annab vastuse, kas konkreetne projekt kavandatud moel on põhjendatud.</w:t>
      </w:r>
    </w:p>
    <w:p w14:paraId="59431CB3" w14:textId="77777777" w:rsidR="005D5038" w:rsidRDefault="005D5038">
      <w:pPr>
        <w:jc w:val="both"/>
      </w:pPr>
    </w:p>
    <w:p w14:paraId="7EB0D51E" w14:textId="77777777" w:rsidR="005D5038" w:rsidRPr="00644FC3" w:rsidRDefault="005D5038">
      <w:pPr>
        <w:jc w:val="both"/>
        <w:rPr>
          <w:u w:val="single"/>
        </w:rPr>
      </w:pPr>
      <w:r w:rsidRPr="00644FC3">
        <w:rPr>
          <w:u w:val="single"/>
        </w:rPr>
        <w:t>Kuluefektiivsus</w:t>
      </w:r>
    </w:p>
    <w:p w14:paraId="60ECD4C9" w14:textId="77777777" w:rsidR="005D5038" w:rsidRDefault="005D5038">
      <w:pPr>
        <w:jc w:val="both"/>
      </w:pPr>
      <w:r>
        <w:t xml:space="preserve">Projekti kuluefektiivsust hinnatakse </w:t>
      </w:r>
      <w:r w:rsidR="00485C86">
        <w:t>hindamiskriteeriumis 3 (§ 18 lg 6 p 3)</w:t>
      </w:r>
      <w:r>
        <w:t xml:space="preserve">. </w:t>
      </w:r>
      <w:r w:rsidR="00644FC3">
        <w:t xml:space="preserve">Projekti kuluefektiivsuse hindamine keskendub sellele, kas projekti tegevused ja nedega seotud kulud on efektiivsed ja kavandatud parimal moel. </w:t>
      </w:r>
    </w:p>
    <w:p w14:paraId="78AC0AA4" w14:textId="77777777" w:rsidR="005D5038" w:rsidRDefault="005D5038">
      <w:pPr>
        <w:jc w:val="both"/>
      </w:pPr>
    </w:p>
    <w:p w14:paraId="7B213DCB" w14:textId="77777777" w:rsidR="005D5038" w:rsidRPr="00644FC3" w:rsidRDefault="00485C86">
      <w:pPr>
        <w:jc w:val="both"/>
        <w:rPr>
          <w:u w:val="single"/>
        </w:rPr>
      </w:pPr>
      <w:r w:rsidRPr="00644FC3">
        <w:rPr>
          <w:u w:val="single"/>
        </w:rPr>
        <w:t>Taotleja</w:t>
      </w:r>
      <w:r w:rsidR="005D5038" w:rsidRPr="00644FC3">
        <w:rPr>
          <w:u w:val="single"/>
        </w:rPr>
        <w:t xml:space="preserve"> suutlikkus projekti ellu viia</w:t>
      </w:r>
    </w:p>
    <w:p w14:paraId="454C9DA4" w14:textId="318A6BD8" w:rsidR="005D5038" w:rsidRDefault="005D5038">
      <w:pPr>
        <w:jc w:val="both"/>
      </w:pPr>
      <w:r>
        <w:t>T</w:t>
      </w:r>
      <w:r w:rsidR="00644FC3">
        <w:t>aotleja</w:t>
      </w:r>
      <w:r w:rsidR="00B24553">
        <w:t xml:space="preserve"> </w:t>
      </w:r>
      <w:r>
        <w:t xml:space="preserve">suutlikkust projekti ellu hinnatakse </w:t>
      </w:r>
      <w:r w:rsidR="00485C86">
        <w:t>hindamiskriteeriumiga 4 (§ 18 lg 6, p 4</w:t>
      </w:r>
      <w:r>
        <w:t xml:space="preserve">). </w:t>
      </w:r>
      <w:r w:rsidR="00644FC3">
        <w:t>Taotleja suutlikku</w:t>
      </w:r>
      <w:r w:rsidR="00B24553">
        <w:t>s projektie ellu viia tagab muu hulgas</w:t>
      </w:r>
      <w:r w:rsidR="00644FC3">
        <w:t xml:space="preserve"> läbimõeldult koostatud arenguplaan, arenguplaani ettevalmistamiseks pakutavad rakendusüksuse teenused ja toetuse saaja poolt projekti panustatav omafinantseering. </w:t>
      </w:r>
    </w:p>
    <w:p w14:paraId="27487106" w14:textId="77777777" w:rsidR="005D5038" w:rsidRDefault="005D5038">
      <w:pPr>
        <w:jc w:val="both"/>
      </w:pPr>
    </w:p>
    <w:p w14:paraId="2124C1DB" w14:textId="77777777" w:rsidR="005D5038" w:rsidRDefault="005D5038" w:rsidP="0057412C">
      <w:pPr>
        <w:jc w:val="both"/>
        <w:rPr>
          <w:u w:val="single"/>
          <w:lang w:eastAsia="ar-SA"/>
        </w:rPr>
      </w:pPr>
    </w:p>
    <w:p w14:paraId="1A2DBDC3" w14:textId="77777777" w:rsidR="00F10C57" w:rsidRDefault="00D06B40" w:rsidP="0057412C">
      <w:pPr>
        <w:jc w:val="both"/>
        <w:rPr>
          <w:u w:val="single"/>
          <w:lang w:eastAsia="ar-SA"/>
        </w:rPr>
      </w:pPr>
      <w:r w:rsidRPr="00150BEA">
        <w:rPr>
          <w:u w:val="single"/>
          <w:lang w:eastAsia="ar-SA"/>
        </w:rPr>
        <w:t xml:space="preserve">Määruse </w:t>
      </w:r>
      <w:r w:rsidR="00150BEA" w:rsidRPr="00150BEA">
        <w:rPr>
          <w:u w:val="single"/>
          <w:lang w:eastAsia="ar-SA"/>
        </w:rPr>
        <w:t>mõju läbivate teemade</w:t>
      </w:r>
      <w:r w:rsidR="00150BEA">
        <w:rPr>
          <w:u w:val="single"/>
          <w:lang w:eastAsia="ar-SA"/>
        </w:rPr>
        <w:t>le.</w:t>
      </w:r>
      <w:r w:rsidR="00150BEA" w:rsidRPr="00150BEA">
        <w:rPr>
          <w:u w:val="single"/>
          <w:lang w:eastAsia="ar-SA"/>
        </w:rPr>
        <w:t xml:space="preserve"> </w:t>
      </w:r>
    </w:p>
    <w:p w14:paraId="67D59517" w14:textId="77777777" w:rsidR="00150BEA" w:rsidRDefault="00150BEA" w:rsidP="0057412C">
      <w:pPr>
        <w:jc w:val="both"/>
        <w:rPr>
          <w:u w:val="single"/>
          <w:lang w:eastAsia="ar-SA"/>
        </w:rPr>
      </w:pPr>
    </w:p>
    <w:p w14:paraId="67DCCEAC" w14:textId="13B294BA" w:rsidR="00F10EC5" w:rsidRPr="00F10EC5" w:rsidRDefault="00F10EC5" w:rsidP="0057412C">
      <w:pPr>
        <w:jc w:val="both"/>
        <w:rPr>
          <w:lang w:eastAsia="ar-SA"/>
        </w:rPr>
      </w:pPr>
      <w:r>
        <w:rPr>
          <w:lang w:eastAsia="ar-SA"/>
        </w:rPr>
        <w:t>Määruse mõju läbivatele teemadele võetakse arvesse hjindamismetoodika väljatöötamisel.</w:t>
      </w:r>
    </w:p>
    <w:p w14:paraId="07C5767D" w14:textId="77777777" w:rsidR="00150BEA" w:rsidRPr="007E0950" w:rsidRDefault="00150BEA" w:rsidP="0057412C">
      <w:pPr>
        <w:pStyle w:val="ListParagraph"/>
        <w:numPr>
          <w:ilvl w:val="0"/>
          <w:numId w:val="44"/>
        </w:numPr>
        <w:spacing w:line="240" w:lineRule="auto"/>
        <w:jc w:val="both"/>
        <w:rPr>
          <w:rFonts w:ascii="Times New Roman" w:hAnsi="Times New Roman"/>
          <w:sz w:val="24"/>
          <w:szCs w:val="24"/>
          <w:lang w:eastAsia="ar-SA"/>
        </w:rPr>
      </w:pPr>
      <w:r w:rsidRPr="007E0950">
        <w:rPr>
          <w:rFonts w:ascii="Times New Roman" w:hAnsi="Times New Roman"/>
          <w:sz w:val="24"/>
          <w:szCs w:val="24"/>
          <w:lang w:eastAsia="ar-SA"/>
        </w:rPr>
        <w:t>Keskkonnahoid ja kliima.</w:t>
      </w:r>
    </w:p>
    <w:p w14:paraId="3D5F58CD" w14:textId="021677C6" w:rsidR="00364DDA" w:rsidRDefault="00B24553" w:rsidP="0057412C">
      <w:pPr>
        <w:jc w:val="both"/>
        <w:rPr>
          <w:lang w:eastAsia="ar-SA"/>
        </w:rPr>
      </w:pPr>
      <w:r>
        <w:rPr>
          <w:lang w:eastAsia="ar-SA"/>
        </w:rPr>
        <w:t xml:space="preserve">Eelnõu on </w:t>
      </w:r>
      <w:r w:rsidR="00B82C14">
        <w:rPr>
          <w:lang w:eastAsia="ar-SA"/>
        </w:rPr>
        <w:t>otseselt suunatud</w:t>
      </w:r>
      <w:r w:rsidR="000912BD">
        <w:rPr>
          <w:lang w:eastAsia="ar-SA"/>
        </w:rPr>
        <w:t xml:space="preserve"> keskkonnahoiu </w:t>
      </w:r>
      <w:r w:rsidR="00B82C14">
        <w:rPr>
          <w:lang w:eastAsia="ar-SA"/>
        </w:rPr>
        <w:t>probleemide lahendamisele</w:t>
      </w:r>
      <w:r w:rsidR="00364DDA">
        <w:rPr>
          <w:lang w:eastAsia="ar-SA"/>
        </w:rPr>
        <w:t xml:space="preserve"> </w:t>
      </w:r>
      <w:r>
        <w:rPr>
          <w:lang w:eastAsia="ar-SA"/>
        </w:rPr>
        <w:t xml:space="preserve">eelnõu toel väljaarendavatele </w:t>
      </w:r>
      <w:r w:rsidR="00364DDA">
        <w:rPr>
          <w:lang w:eastAsia="ar-SA"/>
        </w:rPr>
        <w:t>nn. keskkonna probleemi</w:t>
      </w:r>
      <w:r>
        <w:rPr>
          <w:lang w:eastAsia="ar-SA"/>
        </w:rPr>
        <w:t xml:space="preserve">de vähendamisele suunatud toodete ja teenuste </w:t>
      </w:r>
      <w:r>
        <w:rPr>
          <w:lang w:eastAsia="ar-SA"/>
        </w:rPr>
        <w:lastRenderedPageBreak/>
        <w:t>kaudu</w:t>
      </w:r>
      <w:r w:rsidR="000912BD">
        <w:rPr>
          <w:lang w:eastAsia="ar-SA"/>
        </w:rPr>
        <w:t xml:space="preserve">. </w:t>
      </w:r>
      <w:r w:rsidR="00364DDA">
        <w:rPr>
          <w:lang w:eastAsia="ar-SA"/>
        </w:rPr>
        <w:t xml:space="preserve">Lisaks </w:t>
      </w:r>
      <w:r>
        <w:rPr>
          <w:lang w:eastAsia="ar-SA"/>
        </w:rPr>
        <w:t xml:space="preserve">on </w:t>
      </w:r>
      <w:r w:rsidR="000912BD">
        <w:rPr>
          <w:lang w:eastAsia="ar-SA"/>
        </w:rPr>
        <w:t>uued turu- ja keskkonnanõuetele vastavad tooted ja teenused</w:t>
      </w:r>
      <w:r w:rsidR="00364DDA">
        <w:rPr>
          <w:lang w:eastAsia="ar-SA"/>
        </w:rPr>
        <w:t xml:space="preserve"> võrreldes eelneva põlvkonna toodete ja teenustega</w:t>
      </w:r>
      <w:r>
        <w:rPr>
          <w:lang w:eastAsia="ar-SA"/>
        </w:rPr>
        <w:t xml:space="preserve"> </w:t>
      </w:r>
      <w:r w:rsidR="000912BD">
        <w:rPr>
          <w:lang w:eastAsia="ar-SA"/>
        </w:rPr>
        <w:t xml:space="preserve">ressursisäästlikumad ja nende utiliseerimisega kaasneb väiksem jäätmete kogus. </w:t>
      </w:r>
    </w:p>
    <w:p w14:paraId="0DDE7D94" w14:textId="77777777" w:rsidR="00364DDA" w:rsidRDefault="00364DDA" w:rsidP="0057412C">
      <w:pPr>
        <w:jc w:val="both"/>
        <w:rPr>
          <w:lang w:eastAsia="ar-SA"/>
        </w:rPr>
      </w:pPr>
    </w:p>
    <w:p w14:paraId="2B8446B9" w14:textId="77777777" w:rsidR="00150BEA" w:rsidRPr="00150BEA" w:rsidRDefault="000912BD" w:rsidP="0057412C">
      <w:pPr>
        <w:jc w:val="both"/>
        <w:rPr>
          <w:lang w:eastAsia="ar-SA"/>
        </w:rPr>
      </w:pPr>
      <w:r>
        <w:rPr>
          <w:lang w:eastAsia="ar-SA"/>
        </w:rPr>
        <w:t xml:space="preserve">Teisena saab välja tuua, et </w:t>
      </w:r>
      <w:r w:rsidR="00364DDA">
        <w:rPr>
          <w:lang w:eastAsia="ar-SA"/>
        </w:rPr>
        <w:t>meetme üheks sihtrühmaks on ettevõtjad, kelle arenguplaani elluviimise tegevused kuuluvad nutika spetsialiseerumise kasvualade hulka. N</w:t>
      </w:r>
      <w:r>
        <w:rPr>
          <w:lang w:eastAsia="ar-SA"/>
        </w:rPr>
        <w:t>utika spetsialiseerumise ka</w:t>
      </w:r>
      <w:r w:rsidR="00FD09F4">
        <w:rPr>
          <w:lang w:eastAsia="ar-SA"/>
        </w:rPr>
        <w:t>svuala</w:t>
      </w:r>
      <w:r w:rsidR="000C3305">
        <w:rPr>
          <w:lang w:eastAsia="ar-SA"/>
        </w:rPr>
        <w:t>ga</w:t>
      </w:r>
      <w:r w:rsidR="00B82C14">
        <w:rPr>
          <w:lang w:eastAsia="ar-SA"/>
        </w:rPr>
        <w:t>,</w:t>
      </w:r>
      <w:r w:rsidR="00FD09F4">
        <w:rPr>
          <w:lang w:eastAsia="ar-SA"/>
        </w:rPr>
        <w:t xml:space="preserve"> ressursside efektiivsem kasutamine</w:t>
      </w:r>
      <w:r w:rsidR="00B82C14">
        <w:rPr>
          <w:lang w:eastAsia="ar-SA"/>
        </w:rPr>
        <w:t>,</w:t>
      </w:r>
      <w:r w:rsidR="00FD09F4">
        <w:rPr>
          <w:lang w:eastAsia="ar-SA"/>
        </w:rPr>
        <w:t xml:space="preserve"> seotud </w:t>
      </w:r>
      <w:r w:rsidR="00364DDA">
        <w:rPr>
          <w:lang w:eastAsia="ar-SA"/>
        </w:rPr>
        <w:t xml:space="preserve">tooted, teenused ja </w:t>
      </w:r>
      <w:r w:rsidR="00FD09F4">
        <w:rPr>
          <w:lang w:eastAsia="ar-SA"/>
        </w:rPr>
        <w:t>tehnoloogiad aitavad kaasa ressursitõhususe suurenemisele.</w:t>
      </w:r>
      <w:r>
        <w:rPr>
          <w:lang w:eastAsia="ar-SA"/>
        </w:rPr>
        <w:t xml:space="preserve"> </w:t>
      </w:r>
      <w:r w:rsidR="00364DDA">
        <w:rPr>
          <w:lang w:eastAsia="ar-SA"/>
        </w:rPr>
        <w:t>Eeltoodust</w:t>
      </w:r>
      <w:r w:rsidR="00FD09F4">
        <w:rPr>
          <w:lang w:eastAsia="ar-SA"/>
        </w:rPr>
        <w:t xml:space="preserve"> tulenevalt saab väita, et m</w:t>
      </w:r>
      <w:r w:rsidR="00150BEA">
        <w:rPr>
          <w:lang w:eastAsia="ar-SA"/>
        </w:rPr>
        <w:t xml:space="preserve">ääruse rakendamine võib kaasa tuua positiivseid muutusi </w:t>
      </w:r>
      <w:r w:rsidR="000C3305">
        <w:rPr>
          <w:lang w:eastAsia="ar-SA"/>
        </w:rPr>
        <w:t xml:space="preserve">nii jäätmetekke vähenemisel kui ka </w:t>
      </w:r>
      <w:r w:rsidR="00150BEA">
        <w:rPr>
          <w:lang w:eastAsia="ar-SA"/>
        </w:rPr>
        <w:t xml:space="preserve">jäätmete korduvkasutusele võtmisel. Lisaks </w:t>
      </w:r>
      <w:r>
        <w:rPr>
          <w:lang w:eastAsia="ar-SA"/>
        </w:rPr>
        <w:t>võib määruse rakendamisega suureneda Eesti ettevõtete ressursitõhusus.</w:t>
      </w:r>
    </w:p>
    <w:p w14:paraId="0C99E447" w14:textId="77777777" w:rsidR="00150BEA" w:rsidRDefault="00150BEA" w:rsidP="0057412C">
      <w:pPr>
        <w:pStyle w:val="ListParagraph"/>
        <w:spacing w:line="240" w:lineRule="auto"/>
        <w:jc w:val="both"/>
        <w:rPr>
          <w:lang w:eastAsia="ar-SA"/>
        </w:rPr>
      </w:pPr>
    </w:p>
    <w:p w14:paraId="06D72CB2" w14:textId="77777777" w:rsidR="00FD09F4" w:rsidRPr="007E0950" w:rsidRDefault="00FD09F4" w:rsidP="0057412C">
      <w:pPr>
        <w:pStyle w:val="ListParagraph"/>
        <w:numPr>
          <w:ilvl w:val="0"/>
          <w:numId w:val="44"/>
        </w:numPr>
        <w:spacing w:line="240" w:lineRule="auto"/>
        <w:jc w:val="both"/>
        <w:rPr>
          <w:rFonts w:ascii="Times New Roman" w:hAnsi="Times New Roman"/>
          <w:sz w:val="24"/>
          <w:szCs w:val="24"/>
          <w:lang w:eastAsia="ar-SA"/>
        </w:rPr>
      </w:pPr>
      <w:r w:rsidRPr="007E0950">
        <w:rPr>
          <w:rFonts w:ascii="Times New Roman" w:hAnsi="Times New Roman"/>
          <w:sz w:val="24"/>
          <w:szCs w:val="24"/>
          <w:lang w:eastAsia="ar-SA"/>
        </w:rPr>
        <w:t>Võrdsed võimalused.</w:t>
      </w:r>
    </w:p>
    <w:p w14:paraId="07DA6549" w14:textId="5CC49525" w:rsidR="001F1553" w:rsidRDefault="000624D1" w:rsidP="0057412C">
      <w:pPr>
        <w:jc w:val="both"/>
        <w:rPr>
          <w:lang w:eastAsia="ar-SA"/>
        </w:rPr>
      </w:pPr>
      <w:r>
        <w:rPr>
          <w:lang w:eastAsia="ar-SA"/>
        </w:rPr>
        <w:t xml:space="preserve">Eelnõu kohaselt </w:t>
      </w:r>
      <w:r w:rsidR="00FB0EF9" w:rsidRPr="00FB0EF9">
        <w:rPr>
          <w:lang w:eastAsia="ar-SA"/>
        </w:rPr>
        <w:t xml:space="preserve">on toetuse taotlemine avatud kõigile </w:t>
      </w:r>
      <w:r w:rsidR="00FB0EF9">
        <w:rPr>
          <w:lang w:eastAsia="ar-SA"/>
        </w:rPr>
        <w:t xml:space="preserve">tööstussektori või nutika spetsialiseerumise valdkonna kasvualade ettevõtetele, kes vastavad eelnõu tingimustele </w:t>
      </w:r>
      <w:r w:rsidR="00FB0EF9" w:rsidRPr="00FB0EF9">
        <w:rPr>
          <w:lang w:eastAsia="ar-SA"/>
        </w:rPr>
        <w:t xml:space="preserve"> olenemata nendes töötavate füüsiliste isikute soost, vanusest, erivajadusest vms tingimusest. Sama kehtib füüsiliste</w:t>
      </w:r>
      <w:r w:rsidR="00FB0EF9">
        <w:rPr>
          <w:lang w:eastAsia="ar-SA"/>
        </w:rPr>
        <w:t xml:space="preserve"> isikute kohta, kellelt toetuse saaja võib teenuseid sisse osta</w:t>
      </w:r>
      <w:r w:rsidR="00FB0EF9" w:rsidRPr="00FB0EF9">
        <w:rPr>
          <w:lang w:eastAsia="ar-SA"/>
        </w:rPr>
        <w:t>. Kui taotletava projekti eesmärk on kesk</w:t>
      </w:r>
      <w:r w:rsidR="00FB0EF9">
        <w:rPr>
          <w:lang w:eastAsia="ar-SA"/>
        </w:rPr>
        <w:t>enduda uute toodete, teenuste arendamisele</w:t>
      </w:r>
      <w:r w:rsidR="00FB0EF9" w:rsidRPr="00FB0EF9">
        <w:rPr>
          <w:lang w:eastAsia="ar-SA"/>
        </w:rPr>
        <w:t xml:space="preserve"> võrdsete võimaluste tagamise valdkonnas ning projekt vastab määruses sätestatud tingimustele ning kuulub rahuldamisele, panustab projekt </w:t>
      </w:r>
      <w:r w:rsidR="00FB0EF9">
        <w:rPr>
          <w:lang w:eastAsia="ar-SA"/>
        </w:rPr>
        <w:t xml:space="preserve">ka </w:t>
      </w:r>
      <w:r w:rsidR="00FB0EF9" w:rsidRPr="00FB0EF9">
        <w:rPr>
          <w:lang w:eastAsia="ar-SA"/>
        </w:rPr>
        <w:t>antud läbivasse teemasse.</w:t>
      </w:r>
    </w:p>
    <w:p w14:paraId="606C52F8" w14:textId="77777777" w:rsidR="00FB0EF9" w:rsidRDefault="00FB0EF9" w:rsidP="0057412C">
      <w:pPr>
        <w:jc w:val="both"/>
        <w:rPr>
          <w:lang w:eastAsia="ar-SA"/>
        </w:rPr>
      </w:pPr>
    </w:p>
    <w:p w14:paraId="36B7EFCD" w14:textId="77777777" w:rsidR="001F1553" w:rsidRPr="007E0950" w:rsidRDefault="001F1553" w:rsidP="0057412C">
      <w:pPr>
        <w:pStyle w:val="ListParagraph"/>
        <w:numPr>
          <w:ilvl w:val="0"/>
          <w:numId w:val="44"/>
        </w:numPr>
        <w:spacing w:line="240" w:lineRule="auto"/>
        <w:jc w:val="both"/>
        <w:rPr>
          <w:rFonts w:ascii="Times New Roman" w:hAnsi="Times New Roman"/>
          <w:sz w:val="24"/>
          <w:szCs w:val="24"/>
          <w:lang w:eastAsia="ar-SA"/>
        </w:rPr>
      </w:pPr>
      <w:r w:rsidRPr="007E0950">
        <w:rPr>
          <w:rFonts w:ascii="Times New Roman" w:hAnsi="Times New Roman"/>
          <w:sz w:val="24"/>
          <w:szCs w:val="24"/>
          <w:lang w:eastAsia="ar-SA"/>
        </w:rPr>
        <w:t>Infoühiskond.</w:t>
      </w:r>
    </w:p>
    <w:p w14:paraId="4977610A" w14:textId="482D046E" w:rsidR="008B2FCD" w:rsidRDefault="001F1553" w:rsidP="0057412C">
      <w:pPr>
        <w:jc w:val="both"/>
        <w:rPr>
          <w:lang w:eastAsia="ar-SA"/>
        </w:rPr>
      </w:pPr>
      <w:r>
        <w:rPr>
          <w:lang w:eastAsia="ar-SA"/>
        </w:rPr>
        <w:t>Nutika spetsialiseerumise kasvuala</w:t>
      </w:r>
      <w:r w:rsidR="00B82C14">
        <w:rPr>
          <w:lang w:eastAsia="ar-SA"/>
        </w:rPr>
        <w:t xml:space="preserve">ga, info- ja kommunikatsioonitehnoloogiate kasutamine horisontaalselt läbi teiste sektorite, seotud </w:t>
      </w:r>
      <w:r w:rsidR="00DE29A0">
        <w:rPr>
          <w:lang w:eastAsia="ar-SA"/>
        </w:rPr>
        <w:t>ettevõtjate</w:t>
      </w:r>
      <w:r w:rsidR="00B82C14">
        <w:rPr>
          <w:lang w:eastAsia="ar-SA"/>
        </w:rPr>
        <w:t xml:space="preserve"> poolt </w:t>
      </w:r>
      <w:r w:rsidR="00FD437D">
        <w:rPr>
          <w:lang w:eastAsia="ar-SA"/>
        </w:rPr>
        <w:t>arendatud</w:t>
      </w:r>
      <w:r w:rsidR="00B82C14" w:rsidRPr="00B82C14">
        <w:rPr>
          <w:lang w:eastAsia="ar-SA"/>
        </w:rPr>
        <w:t xml:space="preserve"> uued IT lahendused loovad võimaluse tehnoloogiate kasutuselevõtuks te</w:t>
      </w:r>
      <w:r w:rsidR="000C3305">
        <w:rPr>
          <w:lang w:eastAsia="ar-SA"/>
        </w:rPr>
        <w:t>istes majandusvaldkondades, sealhulgas töötlev tööstus, meditsiin, jne</w:t>
      </w:r>
      <w:r w:rsidR="00B82C14" w:rsidRPr="00B82C14">
        <w:rPr>
          <w:lang w:eastAsia="ar-SA"/>
        </w:rPr>
        <w:t>.</w:t>
      </w:r>
      <w:r w:rsidR="00B82C14">
        <w:rPr>
          <w:lang w:eastAsia="ar-SA"/>
        </w:rPr>
        <w:t xml:space="preserve"> Sealjuures kasvab nii IKT sektori lisandväärtus kui ka uuenduslikkus. Sellest tulenevalt saab väita, et mõju antud läbivale teemale on otsene. </w:t>
      </w:r>
      <w:r w:rsidR="00DE29A0">
        <w:rPr>
          <w:lang w:eastAsia="ar-SA"/>
        </w:rPr>
        <w:t xml:space="preserve">Lisaks on määruses abikõlblik tegevus uute töökorralduse </w:t>
      </w:r>
      <w:r w:rsidR="00FD437D">
        <w:rPr>
          <w:lang w:eastAsia="ar-SA"/>
        </w:rPr>
        <w:t>protsesside rakendamiseks vajaminevate IT lahenduste sisseostmine ja ettevõtja vajadustele vastavaks väljaarendamine.</w:t>
      </w:r>
    </w:p>
    <w:p w14:paraId="03D2A71C" w14:textId="77777777" w:rsidR="00DE29A0" w:rsidRDefault="00DE29A0" w:rsidP="0057412C">
      <w:pPr>
        <w:jc w:val="both"/>
        <w:rPr>
          <w:lang w:eastAsia="ar-SA"/>
        </w:rPr>
      </w:pPr>
    </w:p>
    <w:p w14:paraId="436194EB" w14:textId="77777777" w:rsidR="007E0950" w:rsidRDefault="007E0950" w:rsidP="0057412C">
      <w:pPr>
        <w:pStyle w:val="ListParagraph"/>
        <w:numPr>
          <w:ilvl w:val="0"/>
          <w:numId w:val="44"/>
        </w:numPr>
        <w:spacing w:line="240" w:lineRule="auto"/>
        <w:jc w:val="both"/>
        <w:rPr>
          <w:rFonts w:ascii="Times New Roman" w:hAnsi="Times New Roman"/>
          <w:sz w:val="24"/>
          <w:szCs w:val="24"/>
          <w:lang w:eastAsia="ar-SA"/>
        </w:rPr>
      </w:pPr>
      <w:r w:rsidRPr="007E0950">
        <w:rPr>
          <w:rFonts w:ascii="Times New Roman" w:hAnsi="Times New Roman"/>
          <w:sz w:val="24"/>
          <w:szCs w:val="24"/>
          <w:lang w:eastAsia="ar-SA"/>
        </w:rPr>
        <w:t>Regionaalareng.</w:t>
      </w:r>
    </w:p>
    <w:p w14:paraId="119ADA9C" w14:textId="5EDF5CE0" w:rsidR="007E0950" w:rsidRDefault="000624D1" w:rsidP="00D75E47">
      <w:pPr>
        <w:jc w:val="both"/>
        <w:rPr>
          <w:lang w:eastAsia="ar-SA"/>
        </w:rPr>
      </w:pPr>
      <w:r>
        <w:rPr>
          <w:lang w:eastAsia="ar-SA"/>
        </w:rPr>
        <w:t xml:space="preserve">Eelnõu kohaselt </w:t>
      </w:r>
      <w:r w:rsidR="007E0950" w:rsidRPr="007E0950">
        <w:rPr>
          <w:lang w:eastAsia="ar-SA"/>
        </w:rPr>
        <w:t>on toetuse taotlemine avatud kõigile olenemata regionaalsest paiknemisest</w:t>
      </w:r>
      <w:r w:rsidR="007E0950">
        <w:rPr>
          <w:lang w:eastAsia="ar-SA"/>
        </w:rPr>
        <w:t xml:space="preserve">. Meetme sihtrühma analüüsimisel </w:t>
      </w:r>
      <w:r w:rsidR="00FD437D">
        <w:rPr>
          <w:lang w:eastAsia="ar-SA"/>
        </w:rPr>
        <w:t xml:space="preserve">selgus, et </w:t>
      </w:r>
      <w:r w:rsidR="008F40E5">
        <w:rPr>
          <w:lang w:eastAsia="ar-SA"/>
        </w:rPr>
        <w:t xml:space="preserve">pooled sihtrühma ettevõtetest paiknevad väljapool Tallinnat ja Harjumaad, jaotudes üle kõigi maakondade. </w:t>
      </w:r>
      <w:r w:rsidR="00F10EC5">
        <w:rPr>
          <w:lang w:eastAsia="ar-SA"/>
        </w:rPr>
        <w:t>Sellest tulenevalt ja sõltuvalt konkreetsetest ettevõtjatest saab eeldada, et vähemalt pooled ettevõtte arenguprogrammis osalejatest võiksid paikneda väljaspool Tallinnat ja Harjumaad. Seoses eelöelduga panustab ettevõtte arenguprogramm otseselt regionaalarengusse.</w:t>
      </w:r>
    </w:p>
    <w:p w14:paraId="7CC140F9" w14:textId="77777777" w:rsidR="008F40E5" w:rsidRDefault="008F40E5">
      <w:pPr>
        <w:jc w:val="both"/>
        <w:rPr>
          <w:lang w:eastAsia="ar-SA"/>
        </w:rPr>
      </w:pPr>
    </w:p>
    <w:p w14:paraId="1CE69A67" w14:textId="77777777" w:rsidR="008F40E5" w:rsidRPr="008F40E5" w:rsidRDefault="008F40E5" w:rsidP="0057412C">
      <w:pPr>
        <w:pStyle w:val="ListParagraph"/>
        <w:numPr>
          <w:ilvl w:val="0"/>
          <w:numId w:val="44"/>
        </w:numPr>
        <w:spacing w:line="240" w:lineRule="auto"/>
        <w:rPr>
          <w:rFonts w:ascii="Times New Roman" w:hAnsi="Times New Roman"/>
          <w:sz w:val="24"/>
          <w:szCs w:val="24"/>
          <w:lang w:eastAsia="ar-SA"/>
        </w:rPr>
      </w:pPr>
      <w:r w:rsidRPr="008F40E5">
        <w:rPr>
          <w:rFonts w:ascii="Times New Roman" w:hAnsi="Times New Roman"/>
          <w:sz w:val="24"/>
          <w:szCs w:val="24"/>
          <w:lang w:eastAsia="ar-SA"/>
        </w:rPr>
        <w:t>Riigivalitsemine</w:t>
      </w:r>
    </w:p>
    <w:p w14:paraId="55BE2454" w14:textId="2C25C802" w:rsidR="008F40E5" w:rsidRDefault="008F40E5" w:rsidP="00D75E47">
      <w:pPr>
        <w:jc w:val="both"/>
        <w:rPr>
          <w:lang w:eastAsia="ar-SA"/>
        </w:rPr>
      </w:pPr>
      <w:r w:rsidRPr="008F40E5">
        <w:rPr>
          <w:lang w:eastAsia="ar-SA"/>
        </w:rPr>
        <w:t xml:space="preserve">Eelnõu koostamisele </w:t>
      </w:r>
      <w:r>
        <w:rPr>
          <w:lang w:eastAsia="ar-SA"/>
        </w:rPr>
        <w:t xml:space="preserve">eelnes </w:t>
      </w:r>
      <w:r w:rsidRPr="008F40E5">
        <w:rPr>
          <w:lang w:eastAsia="ar-SA"/>
        </w:rPr>
        <w:t xml:space="preserve">perioodi 2007–2013 meetme </w:t>
      </w:r>
      <w:r w:rsidR="002937D0">
        <w:rPr>
          <w:lang w:eastAsia="ar-SA"/>
        </w:rPr>
        <w:t>analüüs koos sama perioodi meetmete mõjude hindamisega</w:t>
      </w:r>
      <w:r w:rsidR="002937D0">
        <w:rPr>
          <w:rStyle w:val="FootnoteReference"/>
          <w:lang w:eastAsia="ar-SA"/>
        </w:rPr>
        <w:footnoteReference w:id="6"/>
      </w:r>
      <w:r w:rsidR="002937D0">
        <w:rPr>
          <w:lang w:eastAsia="ar-SA"/>
        </w:rPr>
        <w:t>. An</w:t>
      </w:r>
      <w:r w:rsidR="00FD437D">
        <w:rPr>
          <w:lang w:eastAsia="ar-SA"/>
        </w:rPr>
        <w:t>alüüsides saadud informatsiooni ja</w:t>
      </w:r>
      <w:r w:rsidR="002937D0">
        <w:rPr>
          <w:lang w:eastAsia="ar-SA"/>
        </w:rPr>
        <w:t xml:space="preserve"> </w:t>
      </w:r>
      <w:r w:rsidR="00FD437D" w:rsidRPr="008F40E5">
        <w:rPr>
          <w:lang w:eastAsia="ar-SA"/>
        </w:rPr>
        <w:t>hüpoteese</w:t>
      </w:r>
      <w:r w:rsidR="00FD437D">
        <w:rPr>
          <w:lang w:eastAsia="ar-SA"/>
        </w:rPr>
        <w:t xml:space="preserve"> </w:t>
      </w:r>
      <w:r w:rsidR="002937D0">
        <w:rPr>
          <w:lang w:eastAsia="ar-SA"/>
        </w:rPr>
        <w:t>testi</w:t>
      </w:r>
      <w:r w:rsidR="00FD437D">
        <w:rPr>
          <w:lang w:eastAsia="ar-SA"/>
        </w:rPr>
        <w:t>ti</w:t>
      </w:r>
      <w:r w:rsidR="002937D0">
        <w:rPr>
          <w:lang w:eastAsia="ar-SA"/>
        </w:rPr>
        <w:t xml:space="preserve"> </w:t>
      </w:r>
      <w:r w:rsidR="002937D0">
        <w:rPr>
          <w:lang w:eastAsia="ar-SA"/>
        </w:rPr>
        <w:lastRenderedPageBreak/>
        <w:t>eelnõu ja ettevõtete arenguprogrammi ettevalmistusfaasis</w:t>
      </w:r>
      <w:r w:rsidRPr="008F40E5">
        <w:rPr>
          <w:lang w:eastAsia="ar-SA"/>
        </w:rPr>
        <w:t xml:space="preserve"> ning kaaluti erinevaid alternatiive.</w:t>
      </w:r>
      <w:r w:rsidR="002937D0">
        <w:rPr>
          <w:lang w:eastAsia="ar-SA"/>
        </w:rPr>
        <w:t xml:space="preserve"> Lisaks </w:t>
      </w:r>
      <w:r w:rsidR="007963FE">
        <w:rPr>
          <w:lang w:eastAsia="ar-SA"/>
        </w:rPr>
        <w:t>kutsuti</w:t>
      </w:r>
      <w:r w:rsidR="002937D0">
        <w:rPr>
          <w:lang w:eastAsia="ar-SA"/>
        </w:rPr>
        <w:t xml:space="preserve"> </w:t>
      </w:r>
      <w:r w:rsidR="007963FE">
        <w:rPr>
          <w:lang w:eastAsia="ar-SA"/>
        </w:rPr>
        <w:t>perioodi 2007-2013 lõpus ellu pilootmeede, millega testiti arenguplaanil põhinevat toetuspoliitikat.</w:t>
      </w:r>
    </w:p>
    <w:p w14:paraId="7A848C38" w14:textId="77777777" w:rsidR="008F40E5" w:rsidRPr="007E0950" w:rsidRDefault="008F40E5">
      <w:pPr>
        <w:jc w:val="both"/>
        <w:rPr>
          <w:lang w:eastAsia="ar-SA"/>
        </w:rPr>
      </w:pPr>
    </w:p>
    <w:p w14:paraId="4A043B27" w14:textId="77777777" w:rsidR="008B2FCD" w:rsidRPr="00F36A3E" w:rsidRDefault="00F36A3E" w:rsidP="0057412C">
      <w:pPr>
        <w:rPr>
          <w:b/>
        </w:rPr>
      </w:pPr>
      <w:r>
        <w:rPr>
          <w:b/>
        </w:rPr>
        <w:t xml:space="preserve">5. </w:t>
      </w:r>
      <w:r w:rsidR="00F10C57" w:rsidRPr="00F36A3E">
        <w:rPr>
          <w:b/>
        </w:rPr>
        <w:t>Määruse rakendamisega seotud tegevused, vajalikud kulud ja määruse  rakendamise eeldatavad tulud</w:t>
      </w:r>
    </w:p>
    <w:p w14:paraId="0D230828" w14:textId="77777777" w:rsidR="00D75E47" w:rsidRDefault="00D75E47" w:rsidP="0057412C">
      <w:pPr>
        <w:rPr>
          <w:lang w:eastAsia="ar-SA"/>
        </w:rPr>
      </w:pPr>
    </w:p>
    <w:p w14:paraId="1F5E15EC" w14:textId="5933B722" w:rsidR="00A42DBB" w:rsidRDefault="00A42DBB" w:rsidP="0057412C">
      <w:pPr>
        <w:rPr>
          <w:lang w:eastAsia="ar-SA"/>
        </w:rPr>
      </w:pPr>
      <w:r>
        <w:rPr>
          <w:lang w:eastAsia="ar-SA"/>
        </w:rPr>
        <w:t xml:space="preserve">Määruse </w:t>
      </w:r>
      <w:r w:rsidR="000E0F26" w:rsidRPr="000E0F26">
        <w:rPr>
          <w:lang w:eastAsia="ar-SA"/>
        </w:rPr>
        <w:t xml:space="preserve"> </w:t>
      </w:r>
      <w:r w:rsidR="00FE618B">
        <w:rPr>
          <w:lang w:eastAsia="ar-SA"/>
        </w:rPr>
        <w:t xml:space="preserve">raames antavate toetuste </w:t>
      </w:r>
      <w:r w:rsidR="004319BA">
        <w:rPr>
          <w:lang w:eastAsia="ar-SA"/>
        </w:rPr>
        <w:t>eelarveks on kavandatud  73</w:t>
      </w:r>
      <w:r w:rsidR="000E0F26">
        <w:rPr>
          <w:lang w:eastAsia="ar-SA"/>
        </w:rPr>
        <w:t xml:space="preserve"> 000 000 eurot. Kohustusliku omafinantseeringu tagavad toetuse saajad. </w:t>
      </w:r>
    </w:p>
    <w:p w14:paraId="777BAE89" w14:textId="77777777" w:rsidR="00F10C57" w:rsidRPr="002E6552" w:rsidRDefault="00F10C57" w:rsidP="0057412C">
      <w:pPr>
        <w:jc w:val="both"/>
        <w:rPr>
          <w:lang w:eastAsia="ar-SA"/>
        </w:rPr>
      </w:pPr>
    </w:p>
    <w:p w14:paraId="5EE3B9A0" w14:textId="7320431C" w:rsidR="000E0F26" w:rsidRPr="002E6552" w:rsidRDefault="000E0F26" w:rsidP="0057412C">
      <w:pPr>
        <w:jc w:val="both"/>
        <w:rPr>
          <w:lang w:eastAsia="ar-SA"/>
        </w:rPr>
      </w:pPr>
      <w:r w:rsidRPr="002E6552">
        <w:rPr>
          <w:lang w:eastAsia="ar-SA"/>
        </w:rPr>
        <w:t xml:space="preserve">Toetuse </w:t>
      </w:r>
      <w:r>
        <w:rPr>
          <w:lang w:eastAsia="ar-SA"/>
        </w:rPr>
        <w:t xml:space="preserve">andmise administreerimisega, sealhulgas eelnõu rakendamisega </w:t>
      </w:r>
      <w:r w:rsidRPr="002E6552">
        <w:rPr>
          <w:lang w:eastAsia="ar-SA"/>
        </w:rPr>
        <w:t>seotud kulu</w:t>
      </w:r>
      <w:r>
        <w:rPr>
          <w:lang w:eastAsia="ar-SA"/>
        </w:rPr>
        <w:t>tused</w:t>
      </w:r>
      <w:r w:rsidR="00D75E47">
        <w:rPr>
          <w:lang w:eastAsia="ar-SA"/>
        </w:rPr>
        <w:t>,</w:t>
      </w:r>
      <w:r>
        <w:rPr>
          <w:lang w:eastAsia="ar-SA"/>
        </w:rPr>
        <w:t xml:space="preserve"> kaetakse </w:t>
      </w:r>
      <w:r w:rsidRPr="002E6552">
        <w:rPr>
          <w:lang w:eastAsia="ar-SA"/>
        </w:rPr>
        <w:t xml:space="preserve">tehnilise abi vahenditest. </w:t>
      </w:r>
    </w:p>
    <w:p w14:paraId="615512B4" w14:textId="77777777" w:rsidR="000E0F26" w:rsidRDefault="000E0F26" w:rsidP="0057412C">
      <w:pPr>
        <w:jc w:val="both"/>
        <w:rPr>
          <w:lang w:eastAsia="ar-SA"/>
        </w:rPr>
      </w:pPr>
    </w:p>
    <w:p w14:paraId="17BB6C98" w14:textId="28300A3D" w:rsidR="004319BA" w:rsidRDefault="004319BA" w:rsidP="0057412C">
      <w:pPr>
        <w:jc w:val="both"/>
        <w:rPr>
          <w:lang w:eastAsia="ar-SA"/>
        </w:rPr>
      </w:pPr>
      <w:r>
        <w:rPr>
          <w:lang w:eastAsia="ar-SA"/>
        </w:rPr>
        <w:t>Määruse rakendamise</w:t>
      </w:r>
      <w:r w:rsidR="00FD437D">
        <w:rPr>
          <w:lang w:eastAsia="ar-SA"/>
        </w:rPr>
        <w:t>ga</w:t>
      </w:r>
      <w:r>
        <w:rPr>
          <w:lang w:eastAsia="ar-SA"/>
        </w:rPr>
        <w:t xml:space="preserve"> </w:t>
      </w:r>
      <w:r w:rsidR="00A42DBB">
        <w:rPr>
          <w:lang w:eastAsia="ar-SA"/>
        </w:rPr>
        <w:t xml:space="preserve">kaasneb </w:t>
      </w:r>
      <w:r>
        <w:rPr>
          <w:lang w:eastAsia="ar-SA"/>
        </w:rPr>
        <w:t>Ettevõtete arenguprogrammi väljatöötamine ja rakendamine. Ettevõtja arenguprogrammi rakendamiseks töötatakse lõplikult välja raken</w:t>
      </w:r>
      <w:r w:rsidR="007963FE">
        <w:rPr>
          <w:lang w:eastAsia="ar-SA"/>
        </w:rPr>
        <w:t>dusüksuse kliendihaldussüsteem. Kliendhalduse süsteemi väljatöötamisega kaasnevad täiendavad kulud,</w:t>
      </w:r>
      <w:r w:rsidR="00FD437D">
        <w:rPr>
          <w:lang w:eastAsia="ar-SA"/>
        </w:rPr>
        <w:t xml:space="preserve"> </w:t>
      </w:r>
      <w:r>
        <w:rPr>
          <w:lang w:eastAsia="ar-SA"/>
        </w:rPr>
        <w:t xml:space="preserve">sealhulgas </w:t>
      </w:r>
      <w:r w:rsidR="007963FE">
        <w:rPr>
          <w:lang w:eastAsia="ar-SA"/>
        </w:rPr>
        <w:t>kliendihaldurite koolituskulud</w:t>
      </w:r>
      <w:r w:rsidR="006C0235">
        <w:rPr>
          <w:lang w:eastAsia="ar-SA"/>
        </w:rPr>
        <w:t xml:space="preserve">, kliendihaldust hõlbustava </w:t>
      </w:r>
      <w:r>
        <w:rPr>
          <w:lang w:eastAsia="ar-SA"/>
        </w:rPr>
        <w:t>IT lahendus</w:t>
      </w:r>
      <w:r w:rsidR="007963FE">
        <w:rPr>
          <w:lang w:eastAsia="ar-SA"/>
        </w:rPr>
        <w:t>e sisseostmise kulud</w:t>
      </w:r>
      <w:r>
        <w:rPr>
          <w:lang w:eastAsia="ar-SA"/>
        </w:rPr>
        <w:t xml:space="preserve">. Lisaks </w:t>
      </w:r>
      <w:r w:rsidR="006C0235">
        <w:rPr>
          <w:lang w:eastAsia="ar-SA"/>
        </w:rPr>
        <w:t>vaadatakse üle ja vajadusel uuendatakse rakendusüksuse poolt ettevõtjatele pakkutavaid teenuseid.</w:t>
      </w:r>
    </w:p>
    <w:p w14:paraId="56058E64" w14:textId="77777777" w:rsidR="00FD437D" w:rsidRDefault="00FD437D" w:rsidP="0057412C">
      <w:pPr>
        <w:jc w:val="both"/>
        <w:rPr>
          <w:lang w:eastAsia="ar-SA"/>
        </w:rPr>
      </w:pPr>
    </w:p>
    <w:p w14:paraId="0C41B799" w14:textId="2E347011" w:rsidR="00A42DBB" w:rsidRDefault="000E0F26" w:rsidP="0057412C">
      <w:pPr>
        <w:jc w:val="both"/>
        <w:rPr>
          <w:lang w:eastAsia="ar-SA"/>
        </w:rPr>
      </w:pPr>
      <w:r>
        <w:rPr>
          <w:lang w:eastAsia="ar-SA"/>
        </w:rPr>
        <w:t xml:space="preserve">Nimetatud </w:t>
      </w:r>
      <w:r w:rsidR="006C0235">
        <w:rPr>
          <w:lang w:eastAsia="ar-SA"/>
        </w:rPr>
        <w:t>tegevuste</w:t>
      </w:r>
      <w:r w:rsidR="00FD437D">
        <w:rPr>
          <w:lang w:eastAsia="ar-SA"/>
        </w:rPr>
        <w:t>ga</w:t>
      </w:r>
      <w:r w:rsidR="006C0235">
        <w:rPr>
          <w:lang w:eastAsia="ar-SA"/>
        </w:rPr>
        <w:t xml:space="preserve"> kaasnevad </w:t>
      </w:r>
      <w:r>
        <w:rPr>
          <w:lang w:eastAsia="ar-SA"/>
        </w:rPr>
        <w:t xml:space="preserve">kulud kaetakse </w:t>
      </w:r>
      <w:r w:rsidR="006C0235">
        <w:rPr>
          <w:lang w:eastAsia="ar-SA"/>
        </w:rPr>
        <w:t xml:space="preserve">rakendusüksuse eelarvest ja </w:t>
      </w:r>
      <w:r>
        <w:rPr>
          <w:lang w:eastAsia="ar-SA"/>
        </w:rPr>
        <w:t>tehnilise abi vahenditest.</w:t>
      </w:r>
    </w:p>
    <w:p w14:paraId="502D1AC9" w14:textId="77777777" w:rsidR="000E0F26" w:rsidRDefault="000E0F26" w:rsidP="0057412C">
      <w:pPr>
        <w:jc w:val="both"/>
        <w:rPr>
          <w:lang w:eastAsia="ar-SA"/>
        </w:rPr>
      </w:pPr>
    </w:p>
    <w:p w14:paraId="6D695F51" w14:textId="77777777" w:rsidR="00F10C57" w:rsidRPr="002E6552" w:rsidRDefault="000F428E" w:rsidP="0057412C">
      <w:pPr>
        <w:jc w:val="both"/>
        <w:rPr>
          <w:lang w:eastAsia="ar-SA"/>
        </w:rPr>
      </w:pPr>
      <w:r>
        <w:rPr>
          <w:lang w:eastAsia="ar-SA"/>
        </w:rPr>
        <w:t>Käesoleva määruse rakendamine ei too kaasa eraldiseisvaid riigieelarvelisi kulusid, samuti ei kaasne määruse rakendamisega tulusid.</w:t>
      </w:r>
    </w:p>
    <w:p w14:paraId="7E7A9F82" w14:textId="77777777" w:rsidR="00F10C57" w:rsidRPr="002E6552" w:rsidRDefault="00F10C57" w:rsidP="0057412C">
      <w:pPr>
        <w:jc w:val="both"/>
        <w:rPr>
          <w:lang w:eastAsia="ar-SA"/>
        </w:rPr>
      </w:pPr>
    </w:p>
    <w:p w14:paraId="41462C72" w14:textId="77777777" w:rsidR="00F10C57" w:rsidRDefault="00F10C57" w:rsidP="0057412C">
      <w:pPr>
        <w:jc w:val="both"/>
        <w:rPr>
          <w:b/>
          <w:lang w:eastAsia="ar-SA"/>
        </w:rPr>
      </w:pPr>
      <w:r w:rsidRPr="002E6552">
        <w:rPr>
          <w:b/>
          <w:lang w:eastAsia="ar-SA"/>
        </w:rPr>
        <w:t>6. Määruse jõustumine</w:t>
      </w:r>
    </w:p>
    <w:p w14:paraId="37BB8F4B" w14:textId="77777777" w:rsidR="00D75E47" w:rsidRDefault="00D75E47" w:rsidP="0057412C">
      <w:pPr>
        <w:jc w:val="both"/>
        <w:rPr>
          <w:lang w:eastAsia="ar-SA"/>
        </w:rPr>
      </w:pPr>
    </w:p>
    <w:p w14:paraId="3C23F2BF" w14:textId="77777777" w:rsidR="00F10C57" w:rsidRPr="002E6552" w:rsidRDefault="00F10C57" w:rsidP="0057412C">
      <w:pPr>
        <w:jc w:val="both"/>
      </w:pPr>
      <w:r w:rsidRPr="002E6552">
        <w:rPr>
          <w:lang w:eastAsia="ar-SA"/>
        </w:rPr>
        <w:t>Eelnõu jõustub üldises korras</w:t>
      </w:r>
      <w:r w:rsidRPr="002E6552">
        <w:t>, st kolmandal päeval pärast Riigi Teatajas avaldamist.</w:t>
      </w:r>
    </w:p>
    <w:p w14:paraId="4A24615A" w14:textId="77777777" w:rsidR="00F10C57" w:rsidRPr="002E6552" w:rsidRDefault="00F10C57" w:rsidP="0057412C">
      <w:pPr>
        <w:jc w:val="both"/>
        <w:rPr>
          <w:lang w:eastAsia="ar-SA"/>
        </w:rPr>
      </w:pPr>
    </w:p>
    <w:p w14:paraId="70B79CF9" w14:textId="77777777" w:rsidR="00F10C57" w:rsidRDefault="00F10C57" w:rsidP="0057412C">
      <w:pPr>
        <w:jc w:val="both"/>
        <w:rPr>
          <w:b/>
          <w:lang w:eastAsia="ar-SA"/>
        </w:rPr>
      </w:pPr>
      <w:r w:rsidRPr="002E6552">
        <w:rPr>
          <w:b/>
          <w:lang w:eastAsia="ar-SA"/>
        </w:rPr>
        <w:t>7. Eelnõu kooskõlastamine, huvirühmade kaasamine ja avalik konsultatsioon</w:t>
      </w:r>
    </w:p>
    <w:p w14:paraId="31750F7B" w14:textId="77777777" w:rsidR="00D75E47" w:rsidRDefault="00D75E47" w:rsidP="0057412C">
      <w:pPr>
        <w:jc w:val="both"/>
        <w:rPr>
          <w:lang w:eastAsia="ar-SA"/>
        </w:rPr>
      </w:pPr>
    </w:p>
    <w:p w14:paraId="4F0DF025" w14:textId="33DDF98F" w:rsidR="008D5CDD" w:rsidRDefault="00F10C57" w:rsidP="0057412C">
      <w:pPr>
        <w:jc w:val="both"/>
        <w:rPr>
          <w:lang w:eastAsia="ar-SA"/>
        </w:rPr>
      </w:pPr>
      <w:r w:rsidRPr="002E6552">
        <w:rPr>
          <w:lang w:eastAsia="ar-SA"/>
        </w:rPr>
        <w:t>Eelnõu kooskõla</w:t>
      </w:r>
      <w:r w:rsidR="006C0235">
        <w:rPr>
          <w:lang w:eastAsia="ar-SA"/>
        </w:rPr>
        <w:t>statakse</w:t>
      </w:r>
      <w:r w:rsidR="008B6C41">
        <w:rPr>
          <w:lang w:eastAsia="ar-SA"/>
        </w:rPr>
        <w:t xml:space="preserve"> Rahandusministeeriumi, </w:t>
      </w:r>
      <w:r w:rsidR="000F428E">
        <w:rPr>
          <w:lang w:eastAsia="ar-SA"/>
        </w:rPr>
        <w:t>Haridus- ja Teadusministeeriumi</w:t>
      </w:r>
      <w:r w:rsidR="008B6C41">
        <w:rPr>
          <w:lang w:eastAsia="ar-SA"/>
        </w:rPr>
        <w:t>, Sotsiaalministeeriumi ja Keskkonnaministeeriumiga</w:t>
      </w:r>
      <w:r w:rsidRPr="002E6552">
        <w:rPr>
          <w:lang w:eastAsia="ar-SA"/>
        </w:rPr>
        <w:t xml:space="preserve">. </w:t>
      </w:r>
      <w:r w:rsidR="00CE448A">
        <w:rPr>
          <w:lang w:eastAsia="ar-SA"/>
        </w:rPr>
        <w:t>Määruse eelnõu kooskõlast</w:t>
      </w:r>
      <w:r w:rsidR="00FE618B">
        <w:rPr>
          <w:lang w:eastAsia="ar-SA"/>
        </w:rPr>
        <w:t>a</w:t>
      </w:r>
      <w:r w:rsidR="0057412C">
        <w:rPr>
          <w:lang w:eastAsia="ar-SA"/>
        </w:rPr>
        <w:t>b</w:t>
      </w:r>
      <w:r w:rsidR="00CE448A">
        <w:rPr>
          <w:lang w:eastAsia="ar-SA"/>
        </w:rPr>
        <w:t xml:space="preserve"> ka</w:t>
      </w:r>
      <w:r w:rsidRPr="002E6552">
        <w:rPr>
          <w:lang w:eastAsia="ar-SA"/>
        </w:rPr>
        <w:t xml:space="preserve"> </w:t>
      </w:r>
      <w:r w:rsidRPr="008D5CDD">
        <w:rPr>
          <w:lang w:eastAsia="ar-SA"/>
        </w:rPr>
        <w:t>valdkondlik komisjon</w:t>
      </w:r>
      <w:r w:rsidRPr="002E6552">
        <w:rPr>
          <w:lang w:eastAsia="ar-SA"/>
        </w:rPr>
        <w:t xml:space="preserve">, mille koosseisu kuuluvad </w:t>
      </w:r>
      <w:r w:rsidR="008D5CDD">
        <w:rPr>
          <w:lang w:eastAsia="ar-SA"/>
        </w:rPr>
        <w:t xml:space="preserve">Majandus- ja Kommunikatsiooniministeeriumi, Haridus- ja Teadusministeeriumi, Kultuuriministeeriumi, Keskkonnaministeeriumi, Rahandusministeeriumi, Riigikantselei, Eesti Kaubandus- ja Tööstuskoja, Teenusmajanduse Koja, Eesti Teaduste Akadeemia, Rektorite Nõukogu, </w:t>
      </w:r>
      <w:r w:rsidR="008D5CDD" w:rsidRPr="008D5CDD">
        <w:rPr>
          <w:lang w:eastAsia="ar-SA"/>
        </w:rPr>
        <w:t>Eesti Väike- ja Keskmiste Ettevõtjate Assotsiatsioon</w:t>
      </w:r>
      <w:r w:rsidR="008D5CDD">
        <w:rPr>
          <w:lang w:eastAsia="ar-SA"/>
        </w:rPr>
        <w:t xml:space="preserve">i, Ettevõtluse Arendamise Sihtasutuse, Sihtasutuse KredEx, Sihtasutuse Eesti </w:t>
      </w:r>
      <w:r w:rsidR="00FE618B">
        <w:rPr>
          <w:lang w:eastAsia="ar-SA"/>
        </w:rPr>
        <w:t>T</w:t>
      </w:r>
      <w:r w:rsidR="008D5CDD">
        <w:rPr>
          <w:lang w:eastAsia="ar-SA"/>
        </w:rPr>
        <w:t>eadusagentuur ja Sihtasutuse Archimedes esindajad.</w:t>
      </w:r>
    </w:p>
    <w:p w14:paraId="64C2A6A9" w14:textId="77777777" w:rsidR="008D5CDD" w:rsidRDefault="008D5CDD" w:rsidP="0057412C">
      <w:pPr>
        <w:jc w:val="both"/>
        <w:rPr>
          <w:lang w:eastAsia="ar-SA"/>
        </w:rPr>
      </w:pPr>
    </w:p>
    <w:p w14:paraId="1A809ED4" w14:textId="77777777" w:rsidR="007E4FD7" w:rsidRDefault="007963FE" w:rsidP="0057412C">
      <w:pPr>
        <w:jc w:val="both"/>
        <w:rPr>
          <w:lang w:eastAsia="ar-SA"/>
        </w:rPr>
      </w:pPr>
      <w:r w:rsidRPr="007963FE">
        <w:rPr>
          <w:lang w:eastAsia="ar-SA"/>
        </w:rPr>
        <w:t>Määruse eelnõu väljatöötamise protsessi on eelpool nimetatud uuringute ja analüüside raames toimunud küsitluste ja intervjuude</w:t>
      </w:r>
      <w:r>
        <w:rPr>
          <w:lang w:eastAsia="ar-SA"/>
        </w:rPr>
        <w:t xml:space="preserve"> kaudu kaasatud ette</w:t>
      </w:r>
      <w:r w:rsidR="00E7481C">
        <w:rPr>
          <w:lang w:eastAsia="ar-SA"/>
        </w:rPr>
        <w:t>võtjate esindajaid. Lisaks on ettevõtjate arenguprogrammi tutvustatud ja tagasisidet küsitud nii rakendusüksuse kui ka ministeeriumi poolt läbi viidud ettevõtete külastustel.</w:t>
      </w:r>
    </w:p>
    <w:p w14:paraId="5359E10A" w14:textId="77777777" w:rsidR="00E7481C" w:rsidRDefault="00E7481C" w:rsidP="0057412C">
      <w:pPr>
        <w:jc w:val="both"/>
        <w:rPr>
          <w:lang w:eastAsia="ar-SA"/>
        </w:rPr>
      </w:pPr>
    </w:p>
    <w:p w14:paraId="79092ED2" w14:textId="52295142" w:rsidR="0057412C" w:rsidRDefault="0057412C" w:rsidP="0057412C">
      <w:pPr>
        <w:jc w:val="both"/>
        <w:rPr>
          <w:lang w:eastAsia="ar-SA"/>
        </w:rPr>
      </w:pPr>
      <w:r>
        <w:rPr>
          <w:lang w:eastAsia="ar-SA"/>
        </w:rPr>
        <w:lastRenderedPageBreak/>
        <w:t xml:space="preserve">Ettevõtte arenguprogrammi ja </w:t>
      </w:r>
      <w:r w:rsidR="004757DF">
        <w:rPr>
          <w:lang w:eastAsia="ar-SA"/>
        </w:rPr>
        <w:t xml:space="preserve">tema </w:t>
      </w:r>
      <w:r>
        <w:rPr>
          <w:lang w:eastAsia="ar-SA"/>
        </w:rPr>
        <w:t xml:space="preserve">eelnõud tutvustati 13. oktoobril toimunud ettevõtlusorganistasioonide ja tööstussektori erialaliitude infoseminaril. </w:t>
      </w:r>
      <w:r w:rsidR="00A86E06">
        <w:rPr>
          <w:lang w:eastAsia="ar-SA"/>
        </w:rPr>
        <w:t xml:space="preserve">Infoseminaril osalesid Eesti Tööandjate Keskliidu, </w:t>
      </w:r>
      <w:r w:rsidR="00A86E06" w:rsidRPr="00A86E06">
        <w:rPr>
          <w:lang w:eastAsia="ar-SA"/>
        </w:rPr>
        <w:t>Eesti Väike- ja Keskmiste Ettevõtjate Assotsiatsioon</w:t>
      </w:r>
      <w:r w:rsidR="00A86E06">
        <w:rPr>
          <w:lang w:eastAsia="ar-SA"/>
        </w:rPr>
        <w:t xml:space="preserve">i, </w:t>
      </w:r>
      <w:r w:rsidR="00A86E06" w:rsidRPr="00A86E06">
        <w:rPr>
          <w:lang w:eastAsia="ar-SA"/>
        </w:rPr>
        <w:t xml:space="preserve"> </w:t>
      </w:r>
      <w:r w:rsidR="00A86E06">
        <w:rPr>
          <w:lang w:eastAsia="ar-SA"/>
        </w:rPr>
        <w:t>Teenusmajanduse Ko</w:t>
      </w:r>
      <w:r w:rsidR="00473D61">
        <w:rPr>
          <w:lang w:eastAsia="ar-SA"/>
        </w:rPr>
        <w:t>j</w:t>
      </w:r>
      <w:r w:rsidR="00A86E06">
        <w:rPr>
          <w:lang w:eastAsia="ar-SA"/>
        </w:rPr>
        <w:t>a,</w:t>
      </w:r>
      <w:r w:rsidR="00473D61" w:rsidRPr="00473D61">
        <w:t xml:space="preserve"> </w:t>
      </w:r>
      <w:r w:rsidR="00473D61" w:rsidRPr="00473D61">
        <w:rPr>
          <w:lang w:eastAsia="ar-SA"/>
        </w:rPr>
        <w:t>Ee</w:t>
      </w:r>
      <w:r w:rsidR="00473D61">
        <w:rPr>
          <w:lang w:eastAsia="ar-SA"/>
        </w:rPr>
        <w:t xml:space="preserve">sti Metsa- ja Puidutööstuse Liidu, Eesti Elektritööstuse Liidu, Eesti Elektroonikatööstuse Liidu, </w:t>
      </w:r>
      <w:r w:rsidR="00473D61" w:rsidRPr="00473D61">
        <w:rPr>
          <w:lang w:eastAsia="ar-SA"/>
        </w:rPr>
        <w:t xml:space="preserve">Eesti </w:t>
      </w:r>
      <w:r w:rsidR="00473D61">
        <w:rPr>
          <w:lang w:eastAsia="ar-SA"/>
        </w:rPr>
        <w:t>Ehitusmaterjalide Tootjate Liidu ja Eesti Masinatööstuse Liidu esindajad.</w:t>
      </w:r>
      <w:r w:rsidR="00A86E06">
        <w:rPr>
          <w:lang w:eastAsia="ar-SA"/>
        </w:rPr>
        <w:t xml:space="preserve"> </w:t>
      </w:r>
      <w:r>
        <w:rPr>
          <w:lang w:eastAsia="ar-SA"/>
        </w:rPr>
        <w:t>20. oktoobriks esitasid ettevõtlusorganisatsioonid ja tööstussektori erialaliidud omapoolsed ettepanekud eelnõu ja seletuskirja tekstile.</w:t>
      </w:r>
      <w:r w:rsidR="00473D61">
        <w:rPr>
          <w:lang w:eastAsia="ar-SA"/>
        </w:rPr>
        <w:t xml:space="preserve"> </w:t>
      </w:r>
    </w:p>
    <w:p w14:paraId="18AB3337" w14:textId="77777777" w:rsidR="0057412C" w:rsidRDefault="0057412C" w:rsidP="0057412C">
      <w:pPr>
        <w:jc w:val="both"/>
        <w:rPr>
          <w:lang w:eastAsia="ar-SA"/>
        </w:rPr>
      </w:pPr>
    </w:p>
    <w:p w14:paraId="3A1B150D" w14:textId="7AB7D23C" w:rsidR="000F428E" w:rsidRDefault="00ED4D57" w:rsidP="0057412C">
      <w:pPr>
        <w:jc w:val="both"/>
        <w:rPr>
          <w:lang w:eastAsia="ar-SA"/>
        </w:rPr>
      </w:pPr>
      <w:r>
        <w:rPr>
          <w:lang w:eastAsia="ar-SA"/>
        </w:rPr>
        <w:t>Enne taotlus</w:t>
      </w:r>
      <w:r w:rsidR="001E2D6C">
        <w:rPr>
          <w:lang w:eastAsia="ar-SA"/>
        </w:rPr>
        <w:t>te vastuvõtmise alustamist</w:t>
      </w:r>
      <w:r w:rsidR="0057412C">
        <w:rPr>
          <w:lang w:eastAsia="ar-SA"/>
        </w:rPr>
        <w:t xml:space="preserve"> </w:t>
      </w:r>
      <w:r>
        <w:rPr>
          <w:lang w:eastAsia="ar-SA"/>
        </w:rPr>
        <w:t xml:space="preserve">korraldab rakendusüksus </w:t>
      </w:r>
      <w:r w:rsidR="0057412C">
        <w:rPr>
          <w:lang w:eastAsia="ar-SA"/>
        </w:rPr>
        <w:t xml:space="preserve">potentsiaalsetele </w:t>
      </w:r>
      <w:r>
        <w:rPr>
          <w:lang w:eastAsia="ar-SA"/>
        </w:rPr>
        <w:t>taotlejatele suunatud info- ja koolitusseminaride sarja.</w:t>
      </w:r>
    </w:p>
    <w:p w14:paraId="3C035416" w14:textId="77777777" w:rsidR="000F428E" w:rsidRPr="002E6552" w:rsidRDefault="000F428E" w:rsidP="0057412C">
      <w:pPr>
        <w:jc w:val="both"/>
        <w:rPr>
          <w:lang w:eastAsia="ar-SA"/>
        </w:rPr>
      </w:pPr>
    </w:p>
    <w:p w14:paraId="66BDAAF4" w14:textId="77DA4648" w:rsidR="00F10C57" w:rsidRPr="002E6552" w:rsidRDefault="000F428E" w:rsidP="0057412C">
      <w:pPr>
        <w:jc w:val="both"/>
        <w:rPr>
          <w:lang w:eastAsia="ar-SA"/>
        </w:rPr>
      </w:pPr>
      <w:r>
        <w:rPr>
          <w:lang w:eastAsia="ar-SA"/>
        </w:rPr>
        <w:t xml:space="preserve">Teabepäevade ja infoseminaride </w:t>
      </w:r>
      <w:r w:rsidR="00C77658">
        <w:rPr>
          <w:lang w:eastAsia="ar-SA"/>
        </w:rPr>
        <w:t>käigus tutvustatakse</w:t>
      </w:r>
      <w:r w:rsidR="00F10C57" w:rsidRPr="002E6552">
        <w:rPr>
          <w:lang w:eastAsia="ar-SA"/>
        </w:rPr>
        <w:t xml:space="preserve"> määruse</w:t>
      </w:r>
      <w:r w:rsidR="001E2D6C">
        <w:rPr>
          <w:lang w:eastAsia="ar-SA"/>
        </w:rPr>
        <w:t xml:space="preserve"> nõudeid</w:t>
      </w:r>
      <w:r>
        <w:rPr>
          <w:lang w:eastAsia="ar-SA"/>
        </w:rPr>
        <w:t>, selle eesmärke</w:t>
      </w:r>
      <w:r w:rsidR="00F10C57" w:rsidRPr="002E6552">
        <w:rPr>
          <w:lang w:eastAsia="ar-SA"/>
        </w:rPr>
        <w:t xml:space="preserve"> ning selgitatud abikõlblikke tegevusi</w:t>
      </w:r>
      <w:r w:rsidR="00ED4D57">
        <w:rPr>
          <w:lang w:eastAsia="ar-SA"/>
        </w:rPr>
        <w:t>.</w:t>
      </w:r>
    </w:p>
    <w:p w14:paraId="1554401D" w14:textId="77777777" w:rsidR="00F10C57" w:rsidRPr="002E6552" w:rsidRDefault="00F10C57" w:rsidP="0057412C">
      <w:pPr>
        <w:jc w:val="both"/>
        <w:rPr>
          <w:lang w:eastAsia="ar-SA"/>
        </w:rPr>
      </w:pPr>
    </w:p>
    <w:p w14:paraId="5C2C5A78" w14:textId="77777777" w:rsidR="00F10C57" w:rsidRPr="002E6552" w:rsidRDefault="00F10C57" w:rsidP="0057412C">
      <w:pPr>
        <w:jc w:val="both"/>
        <w:rPr>
          <w:lang w:eastAsia="ar-SA"/>
        </w:rPr>
      </w:pPr>
    </w:p>
    <w:p w14:paraId="2C97A7CE" w14:textId="77777777" w:rsidR="00F10C57" w:rsidRDefault="00F10C57" w:rsidP="0057412C">
      <w:pPr>
        <w:jc w:val="both"/>
        <w:rPr>
          <w:lang w:eastAsia="ar-SA"/>
        </w:rPr>
      </w:pPr>
    </w:p>
    <w:sectPr w:rsidR="00F10C57" w:rsidSect="00C91314">
      <w:headerReference w:type="default" r:id="rId14"/>
      <w:footerReference w:type="even" r:id="rId15"/>
      <w:footerReference w:type="default" r:id="rId16"/>
      <w:pgSz w:w="11906" w:h="16838"/>
      <w:pgMar w:top="1417" w:right="1466" w:bottom="1417" w:left="16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8B1828" w14:textId="77777777" w:rsidR="00632F83" w:rsidRDefault="00632F83">
      <w:r>
        <w:separator/>
      </w:r>
    </w:p>
  </w:endnote>
  <w:endnote w:type="continuationSeparator" w:id="0">
    <w:p w14:paraId="479A9F88" w14:textId="77777777" w:rsidR="00632F83" w:rsidRDefault="00632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A72A15" w14:textId="77777777" w:rsidR="000E3863" w:rsidRDefault="000E3863" w:rsidP="00C9131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065733" w14:textId="77777777" w:rsidR="000E3863" w:rsidRDefault="000E3863" w:rsidP="00C9131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626041" w14:textId="77777777" w:rsidR="000E3863" w:rsidRDefault="000E3863" w:rsidP="00C9131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B74E6">
      <w:rPr>
        <w:rStyle w:val="PageNumber"/>
        <w:noProof/>
      </w:rPr>
      <w:t>1</w:t>
    </w:r>
    <w:r>
      <w:rPr>
        <w:rStyle w:val="PageNumber"/>
      </w:rPr>
      <w:fldChar w:fldCharType="end"/>
    </w:r>
  </w:p>
  <w:p w14:paraId="0B1387A4" w14:textId="77777777" w:rsidR="000E3863" w:rsidRDefault="000E386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1B6E71" w14:textId="77777777" w:rsidR="00632F83" w:rsidRDefault="00632F83">
      <w:r>
        <w:separator/>
      </w:r>
    </w:p>
  </w:footnote>
  <w:footnote w:type="continuationSeparator" w:id="0">
    <w:p w14:paraId="506ED214" w14:textId="77777777" w:rsidR="00632F83" w:rsidRDefault="00632F83">
      <w:r>
        <w:continuationSeparator/>
      </w:r>
    </w:p>
  </w:footnote>
  <w:footnote w:id="1">
    <w:p w14:paraId="6FE0DCA9" w14:textId="77777777" w:rsidR="000E3863" w:rsidRDefault="000E3863" w:rsidP="004437D4">
      <w:pPr>
        <w:pStyle w:val="FootnoteText"/>
      </w:pPr>
      <w:r>
        <w:rPr>
          <w:rStyle w:val="FootnoteReference"/>
        </w:rPr>
        <w:footnoteRef/>
      </w:r>
      <w:r>
        <w:t xml:space="preserve"> Lisandväärtus töötunni kohta või lisandväärtus töötaja kohta.</w:t>
      </w:r>
    </w:p>
  </w:footnote>
  <w:footnote w:id="2">
    <w:p w14:paraId="207E381B" w14:textId="77777777" w:rsidR="000E3863" w:rsidRDefault="000E3863">
      <w:pPr>
        <w:pStyle w:val="FootnoteText"/>
      </w:pPr>
      <w:r>
        <w:rPr>
          <w:rStyle w:val="FootnoteReference"/>
        </w:rPr>
        <w:footnoteRef/>
      </w:r>
      <w:r>
        <w:t xml:space="preserve"> Alas. R, Eomois. E (2015) </w:t>
      </w:r>
      <w:r w:rsidRPr="003D3763">
        <w:t>Eesti juhtimisvaldkonna uuring 2015</w:t>
      </w:r>
    </w:p>
    <w:p w14:paraId="253B2F43" w14:textId="77777777" w:rsidR="000E3863" w:rsidRDefault="000E3863">
      <w:pPr>
        <w:pStyle w:val="FootnoteText"/>
      </w:pPr>
      <w:r>
        <w:t xml:space="preserve">URL </w:t>
      </w:r>
      <w:hyperlink r:id="rId1" w:history="1">
        <w:r w:rsidRPr="00D06A6A">
          <w:rPr>
            <w:rStyle w:val="Hyperlink"/>
            <w:snapToGrid/>
          </w:rPr>
          <w:t>http://www.eas.ee/images/doc/sihtasutusest/uuringud/ettevotlus/EAS_juhtimisvaldkonna_uuring_Civitta_EBS_Final_2015_08_17.pdf</w:t>
        </w:r>
      </w:hyperlink>
      <w:r>
        <w:t xml:space="preserve"> (24.09.2015)</w:t>
      </w:r>
    </w:p>
    <w:p w14:paraId="6A90F3CE" w14:textId="77777777" w:rsidR="000E3863" w:rsidRDefault="000E3863">
      <w:pPr>
        <w:pStyle w:val="FootnoteText"/>
      </w:pPr>
      <w:r>
        <w:t xml:space="preserve">Varblane. U, Varblane Uku (2011) </w:t>
      </w:r>
      <w:r w:rsidRPr="003D3763">
        <w:t>Eesti masinatööstuse sektoruuring</w:t>
      </w:r>
      <w:r>
        <w:t xml:space="preserve"> 2010-2011</w:t>
      </w:r>
    </w:p>
    <w:p w14:paraId="55E61734" w14:textId="77777777" w:rsidR="000E3863" w:rsidRDefault="000E3863">
      <w:pPr>
        <w:pStyle w:val="FootnoteText"/>
      </w:pPr>
      <w:r>
        <w:t xml:space="preserve">URL </w:t>
      </w:r>
      <w:hyperlink r:id="rId2" w:history="1">
        <w:r w:rsidRPr="00D06A6A">
          <w:rPr>
            <w:rStyle w:val="Hyperlink"/>
            <w:snapToGrid/>
          </w:rPr>
          <w:t>http://www.eas.ee/images/doc/sihtasutusest/uuringud/ettevotlus/masinatoostuse-sektoruuring-lyhikokkuvote.pdf</w:t>
        </w:r>
      </w:hyperlink>
      <w:r>
        <w:t xml:space="preserve"> (24.09.2015)</w:t>
      </w:r>
    </w:p>
    <w:p w14:paraId="7714F8E8" w14:textId="77777777" w:rsidR="000E3863" w:rsidRDefault="000E3863">
      <w:pPr>
        <w:pStyle w:val="FootnoteText"/>
      </w:pPr>
      <w:r>
        <w:t xml:space="preserve">Vadi. M, Tepp. M (2011) </w:t>
      </w:r>
      <w:r w:rsidRPr="003D3763">
        <w:t>Eesti juhtimisvaldkonna uuring</w:t>
      </w:r>
      <w:r>
        <w:t xml:space="preserve"> 2011</w:t>
      </w:r>
    </w:p>
    <w:p w14:paraId="7A9DE65F" w14:textId="77777777" w:rsidR="000E3863" w:rsidRDefault="000E3863">
      <w:pPr>
        <w:pStyle w:val="FootnoteText"/>
      </w:pPr>
      <w:r>
        <w:t>URL</w:t>
      </w:r>
      <w:r w:rsidRPr="003D3763">
        <w:t xml:space="preserve"> </w:t>
      </w:r>
      <w:hyperlink r:id="rId3" w:history="1">
        <w:r w:rsidRPr="00D06A6A">
          <w:rPr>
            <w:rStyle w:val="Hyperlink"/>
            <w:snapToGrid/>
          </w:rPr>
          <w:t>http://www.eas.ee/images/doc/sihtasutusest/uuringud/ettevotlus/easi-juhtimisuuring-2010_eas-i_final.pdf</w:t>
        </w:r>
      </w:hyperlink>
      <w:r>
        <w:t xml:space="preserve"> (24.09.2015)</w:t>
      </w:r>
    </w:p>
  </w:footnote>
  <w:footnote w:id="3">
    <w:p w14:paraId="169BC1BA" w14:textId="77777777" w:rsidR="000E3863" w:rsidRDefault="000E3863">
      <w:pPr>
        <w:pStyle w:val="FootnoteText"/>
      </w:pPr>
      <w:r>
        <w:rPr>
          <w:rStyle w:val="FootnoteReference"/>
        </w:rPr>
        <w:footnoteRef/>
      </w:r>
      <w:r>
        <w:t xml:space="preserve"> URL </w:t>
      </w:r>
      <w:r w:rsidRPr="00386A0F">
        <w:t>http://eur-lex.europa.eu/legal-content/ET/TXT/HTML/?uri=CELEX:52014DC0014&amp;from=EN</w:t>
      </w:r>
      <w:r>
        <w:t xml:space="preserve"> </w:t>
      </w:r>
    </w:p>
  </w:footnote>
  <w:footnote w:id="4">
    <w:p w14:paraId="7063AFBE" w14:textId="77777777" w:rsidR="000E3863" w:rsidRDefault="000E3863">
      <w:pPr>
        <w:pStyle w:val="FootnoteText"/>
      </w:pPr>
      <w:r>
        <w:rPr>
          <w:rStyle w:val="FootnoteReference"/>
        </w:rPr>
        <w:footnoteRef/>
      </w:r>
      <w:r>
        <w:t xml:space="preserve"> Kitsing. M. (2015).  </w:t>
      </w:r>
      <w:r w:rsidRPr="001916B7">
        <w:t>Nutika spetsialiseerumise analüüs</w:t>
      </w:r>
    </w:p>
    <w:p w14:paraId="3B5A0E8D" w14:textId="77777777" w:rsidR="000E3863" w:rsidRDefault="000E3863">
      <w:pPr>
        <w:pStyle w:val="FootnoteText"/>
      </w:pPr>
      <w:r>
        <w:t xml:space="preserve">URL </w:t>
      </w:r>
      <w:hyperlink r:id="rId4" w:history="1">
        <w:r w:rsidRPr="00290A7D">
          <w:rPr>
            <w:rStyle w:val="Hyperlink"/>
            <w:snapToGrid/>
          </w:rPr>
          <w:t>https://www.mkm.ee/sites/default/files/nsa_080415_oige.pdf</w:t>
        </w:r>
      </w:hyperlink>
      <w:r>
        <w:t xml:space="preserve"> (24.09.2015)</w:t>
      </w:r>
    </w:p>
  </w:footnote>
  <w:footnote w:id="5">
    <w:p w14:paraId="08ECFAE3" w14:textId="77777777" w:rsidR="000E3863" w:rsidRDefault="000E3863" w:rsidP="000371AD">
      <w:pPr>
        <w:pStyle w:val="FootnoteText"/>
      </w:pPr>
      <w:r>
        <w:rPr>
          <w:rStyle w:val="FootnoteReference"/>
        </w:rPr>
        <w:footnoteRef/>
      </w:r>
      <w:r>
        <w:t xml:space="preserve"> Lepik. K. (2013). Nutikas spetsialiseerumine-Kvalitatiivne analüüs</w:t>
      </w:r>
    </w:p>
    <w:p w14:paraId="06618AC5" w14:textId="77777777" w:rsidR="000E3863" w:rsidRDefault="000E3863" w:rsidP="000371AD">
      <w:pPr>
        <w:pStyle w:val="FootnoteText"/>
        <w:ind w:left="0" w:firstLine="0"/>
      </w:pPr>
      <w:r>
        <w:t xml:space="preserve">URL </w:t>
      </w:r>
      <w:hyperlink r:id="rId5" w:history="1">
        <w:r w:rsidRPr="00B03D5D">
          <w:rPr>
            <w:rStyle w:val="Hyperlink"/>
            <w:snapToGrid/>
          </w:rPr>
          <w:t>http://www.arengufond.ee/wp-content/uploads/2013/06/Nutikas-spetsialiseerumine-20_02_2013.pdf</w:t>
        </w:r>
      </w:hyperlink>
      <w:r>
        <w:t xml:space="preserve"> (19.07.2014)</w:t>
      </w:r>
    </w:p>
  </w:footnote>
  <w:footnote w:id="6">
    <w:p w14:paraId="671552CC" w14:textId="77777777" w:rsidR="000E3863" w:rsidRDefault="000E3863" w:rsidP="003C1860">
      <w:pPr>
        <w:pStyle w:val="FootnoteText"/>
      </w:pPr>
      <w:r>
        <w:rPr>
          <w:rStyle w:val="FootnoteReference"/>
        </w:rPr>
        <w:footnoteRef/>
      </w:r>
      <w:r>
        <w:t xml:space="preserve"> Mihkelson. P, Rebane. T, Kitsing. M, Lember. K. (2014) </w:t>
      </w:r>
      <w:r w:rsidRPr="003C1860">
        <w:t xml:space="preserve">Ettevõtlus- ja innovatsioonipoliitika </w:t>
      </w:r>
      <w:r>
        <w:t>vahehindamin</w:t>
      </w:r>
      <w:r w:rsidRPr="003C1860">
        <w:t>e</w:t>
      </w:r>
      <w:r>
        <w:t xml:space="preserve"> </w:t>
      </w:r>
    </w:p>
    <w:p w14:paraId="381654E5" w14:textId="77777777" w:rsidR="000E3863" w:rsidRDefault="000E3863" w:rsidP="003C1860">
      <w:pPr>
        <w:pStyle w:val="FootnoteText"/>
      </w:pPr>
      <w:r>
        <w:t xml:space="preserve">URL </w:t>
      </w:r>
      <w:hyperlink r:id="rId6" w:history="1">
        <w:r w:rsidRPr="00D06A6A">
          <w:rPr>
            <w:rStyle w:val="Hyperlink"/>
            <w:snapToGrid/>
          </w:rPr>
          <w:t>http://www.eas.ee/images/doc/sihtasutusest/uuringud/ettevotlus/ettevotlustoetuste-vahehindamine-2014.pdf</w:t>
        </w:r>
      </w:hyperlink>
      <w:r>
        <w:t xml:space="preserve"> (24.09.2015)</w:t>
      </w:r>
    </w:p>
    <w:p w14:paraId="4BC3A78A" w14:textId="77777777" w:rsidR="000E3863" w:rsidRDefault="000E3863" w:rsidP="003C1860">
      <w:pPr>
        <w:pStyle w:val="FootnoteText"/>
      </w:pPr>
      <w:r>
        <w:t xml:space="preserve"> Riigikontroll (2014) Innovatsiooni toetusmeetmete mõju ettevõtete konkurentsivõimele URL </w:t>
      </w:r>
      <w:hyperlink r:id="rId7" w:history="1">
        <w:r w:rsidRPr="00D06A6A">
          <w:rPr>
            <w:rStyle w:val="Hyperlink"/>
            <w:snapToGrid/>
          </w:rPr>
          <w:t>http://www.riigikontroll.ee/tabid/206/Audit/2340/Area/4/language/et-EE/Default.aspx</w:t>
        </w:r>
      </w:hyperlink>
      <w:r>
        <w:t xml:space="preserve"> (24.09.2015)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E81094" w14:textId="77777777" w:rsidR="000E3863" w:rsidRPr="009B3FD6" w:rsidRDefault="000E3863" w:rsidP="00C91314">
    <w:pPr>
      <w:pStyle w:val="Header"/>
      <w:jc w:val="right"/>
      <w:rPr>
        <w:lang w:val="en-GB"/>
      </w:rPr>
    </w:pPr>
    <w:r>
      <w:rPr>
        <w:lang w:val="en-GB"/>
      </w:rPr>
      <w:t>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63EA98F6"/>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0000000E"/>
    <w:multiLevelType w:val="singleLevel"/>
    <w:tmpl w:val="584486D8"/>
    <w:name w:val="WW8Num14"/>
    <w:lvl w:ilvl="0">
      <w:start w:val="4"/>
      <w:numFmt w:val="decimal"/>
      <w:pStyle w:val="Heading1"/>
      <w:lvlText w:val="%1"/>
      <w:lvlJc w:val="left"/>
      <w:pPr>
        <w:tabs>
          <w:tab w:val="num" w:pos="0"/>
        </w:tabs>
      </w:pPr>
      <w:rPr>
        <w:rFonts w:ascii="Times New Roman" w:hAnsi="Times New Roman" w:cs="Times New Roman"/>
        <w:b w:val="0"/>
        <w:bCs w:val="0"/>
        <w:i w:val="0"/>
        <w:iCs w:val="0"/>
        <w:caps w:val="0"/>
        <w:smallCaps w:val="0"/>
        <w:strike w:val="0"/>
        <w:dstrike w:val="0"/>
        <w:snapToGrid w:val="0"/>
        <w:color w:val="000000"/>
      </w:rPr>
    </w:lvl>
  </w:abstractNum>
  <w:abstractNum w:abstractNumId="2" w15:restartNumberingAfterBreak="0">
    <w:nsid w:val="013E609D"/>
    <w:multiLevelType w:val="hybridMultilevel"/>
    <w:tmpl w:val="FDC4F45A"/>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060A6858"/>
    <w:multiLevelType w:val="hybridMultilevel"/>
    <w:tmpl w:val="AB6CD484"/>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09B22138"/>
    <w:multiLevelType w:val="hybridMultilevel"/>
    <w:tmpl w:val="EBD2951C"/>
    <w:lvl w:ilvl="0" w:tplc="E25C8280">
      <w:start w:val="1"/>
      <w:numFmt w:val="decimal"/>
      <w:lvlText w:val="%1)"/>
      <w:lvlJc w:val="left"/>
      <w:pPr>
        <w:ind w:left="720" w:hanging="360"/>
      </w:pPr>
      <w:rPr>
        <w:rFonts w:ascii="Times New Roman" w:hAnsi="Times New Roman" w:cs="Times New Roman" w:hint="default"/>
        <w:sz w:val="24"/>
        <w:szCs w:val="24"/>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0A8E28C2"/>
    <w:multiLevelType w:val="hybridMultilevel"/>
    <w:tmpl w:val="E2602776"/>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0E1D19DB"/>
    <w:multiLevelType w:val="hybridMultilevel"/>
    <w:tmpl w:val="21C28B06"/>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15:restartNumberingAfterBreak="0">
    <w:nsid w:val="149A1D98"/>
    <w:multiLevelType w:val="hybridMultilevel"/>
    <w:tmpl w:val="2D66FA3E"/>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15:restartNumberingAfterBreak="0">
    <w:nsid w:val="177D5001"/>
    <w:multiLevelType w:val="hybridMultilevel"/>
    <w:tmpl w:val="B4DE4D9E"/>
    <w:lvl w:ilvl="0" w:tplc="22D0DCC4">
      <w:start w:val="1"/>
      <w:numFmt w:val="decimal"/>
      <w:lvlText w:val="%1)"/>
      <w:lvlJc w:val="left"/>
      <w:pPr>
        <w:ind w:left="720" w:hanging="360"/>
      </w:pPr>
      <w:rPr>
        <w:rFonts w:ascii="Times New Roman" w:hAnsi="Times New Roman" w:cs="Times New Roman" w:hint="default"/>
        <w:sz w:val="24"/>
        <w:szCs w:val="24"/>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15:restartNumberingAfterBreak="0">
    <w:nsid w:val="1C6222AF"/>
    <w:multiLevelType w:val="hybridMultilevel"/>
    <w:tmpl w:val="8DEAE1A4"/>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15:restartNumberingAfterBreak="0">
    <w:nsid w:val="205D397F"/>
    <w:multiLevelType w:val="hybridMultilevel"/>
    <w:tmpl w:val="FA148E74"/>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11" w15:restartNumberingAfterBreak="0">
    <w:nsid w:val="251C6BD9"/>
    <w:multiLevelType w:val="hybridMultilevel"/>
    <w:tmpl w:val="F6AA8018"/>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2" w15:restartNumberingAfterBreak="0">
    <w:nsid w:val="2645600F"/>
    <w:multiLevelType w:val="hybridMultilevel"/>
    <w:tmpl w:val="402E7ED4"/>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 w15:restartNumberingAfterBreak="0">
    <w:nsid w:val="27B17BBF"/>
    <w:multiLevelType w:val="hybridMultilevel"/>
    <w:tmpl w:val="8D16F5BE"/>
    <w:lvl w:ilvl="0" w:tplc="0A363F76">
      <w:start w:val="1"/>
      <w:numFmt w:val="decimal"/>
      <w:lvlText w:val="%1)"/>
      <w:lvlJc w:val="left"/>
      <w:pPr>
        <w:ind w:left="720" w:hanging="360"/>
      </w:pPr>
      <w:rPr>
        <w:rFonts w:ascii="Times New Roman" w:hAnsi="Times New Roman" w:cs="Times New Roman" w:hint="default"/>
        <w:sz w:val="24"/>
        <w:szCs w:val="24"/>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4" w15:restartNumberingAfterBreak="0">
    <w:nsid w:val="29FD130C"/>
    <w:multiLevelType w:val="hybridMultilevel"/>
    <w:tmpl w:val="0DBAE148"/>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15" w15:restartNumberingAfterBreak="0">
    <w:nsid w:val="2B993CDA"/>
    <w:multiLevelType w:val="multilevel"/>
    <w:tmpl w:val="871CB99C"/>
    <w:lvl w:ilvl="0">
      <w:start w:val="1"/>
      <w:numFmt w:val="decimal"/>
      <w:lvlRestart w:val="0"/>
      <w:pStyle w:val="Point0number"/>
      <w:lvlText w:val="(%1)"/>
      <w:lvlJc w:val="left"/>
      <w:pPr>
        <w:tabs>
          <w:tab w:val="num" w:pos="850"/>
        </w:tabs>
        <w:ind w:left="850" w:hanging="850"/>
      </w:pPr>
      <w:rPr>
        <w:rFonts w:cs="Times New Roman"/>
      </w:rPr>
    </w:lvl>
    <w:lvl w:ilvl="1">
      <w:start w:val="1"/>
      <w:numFmt w:val="lowerLetter"/>
      <w:pStyle w:val="Point0letter"/>
      <w:lvlText w:val="(%2)"/>
      <w:lvlJc w:val="left"/>
      <w:pPr>
        <w:tabs>
          <w:tab w:val="num" w:pos="850"/>
        </w:tabs>
        <w:ind w:left="850" w:hanging="850"/>
      </w:pPr>
      <w:rPr>
        <w:rFonts w:cs="Times New Roman"/>
      </w:rPr>
    </w:lvl>
    <w:lvl w:ilvl="2">
      <w:start w:val="1"/>
      <w:numFmt w:val="decimal"/>
      <w:pStyle w:val="Point1number"/>
      <w:lvlText w:val="(%3)"/>
      <w:lvlJc w:val="left"/>
      <w:pPr>
        <w:tabs>
          <w:tab w:val="num" w:pos="1417"/>
        </w:tabs>
        <w:ind w:left="1417" w:hanging="567"/>
      </w:pPr>
      <w:rPr>
        <w:rFonts w:cs="Times New Roman"/>
      </w:rPr>
    </w:lvl>
    <w:lvl w:ilvl="3">
      <w:start w:val="1"/>
      <w:numFmt w:val="lowerLetter"/>
      <w:pStyle w:val="Point1letter"/>
      <w:lvlText w:val="(%4)"/>
      <w:lvlJc w:val="left"/>
      <w:pPr>
        <w:tabs>
          <w:tab w:val="num" w:pos="1417"/>
        </w:tabs>
        <w:ind w:left="1417" w:hanging="567"/>
      </w:pPr>
      <w:rPr>
        <w:rFonts w:cs="Times New Roman"/>
      </w:rPr>
    </w:lvl>
    <w:lvl w:ilvl="4">
      <w:start w:val="1"/>
      <w:numFmt w:val="decimal"/>
      <w:pStyle w:val="Point2number"/>
      <w:lvlText w:val="(%5)"/>
      <w:lvlJc w:val="left"/>
      <w:pPr>
        <w:tabs>
          <w:tab w:val="num" w:pos="1984"/>
        </w:tabs>
        <w:ind w:left="1984" w:hanging="567"/>
      </w:pPr>
      <w:rPr>
        <w:rFonts w:cs="Times New Roman"/>
      </w:rPr>
    </w:lvl>
    <w:lvl w:ilvl="5">
      <w:start w:val="1"/>
      <w:numFmt w:val="lowerLetter"/>
      <w:pStyle w:val="Point2letter"/>
      <w:lvlText w:val="(%6)"/>
      <w:lvlJc w:val="left"/>
      <w:pPr>
        <w:tabs>
          <w:tab w:val="num" w:pos="1984"/>
        </w:tabs>
        <w:ind w:left="1984" w:hanging="567"/>
      </w:pPr>
      <w:rPr>
        <w:rFonts w:cs="Times New Roman"/>
      </w:rPr>
    </w:lvl>
    <w:lvl w:ilvl="6">
      <w:start w:val="1"/>
      <w:numFmt w:val="decimal"/>
      <w:pStyle w:val="Point3number"/>
      <w:lvlText w:val="(%7)"/>
      <w:lvlJc w:val="left"/>
      <w:pPr>
        <w:tabs>
          <w:tab w:val="num" w:pos="2551"/>
        </w:tabs>
        <w:ind w:left="2551" w:hanging="567"/>
      </w:pPr>
      <w:rPr>
        <w:rFonts w:cs="Times New Roman"/>
      </w:rPr>
    </w:lvl>
    <w:lvl w:ilvl="7">
      <w:start w:val="1"/>
      <w:numFmt w:val="lowerLetter"/>
      <w:pStyle w:val="Point3letter"/>
      <w:lvlText w:val="(%8)"/>
      <w:lvlJc w:val="left"/>
      <w:pPr>
        <w:tabs>
          <w:tab w:val="num" w:pos="2551"/>
        </w:tabs>
        <w:ind w:left="2551" w:hanging="567"/>
      </w:pPr>
      <w:rPr>
        <w:rFonts w:cs="Times New Roman"/>
      </w:rPr>
    </w:lvl>
    <w:lvl w:ilvl="8">
      <w:start w:val="1"/>
      <w:numFmt w:val="lowerLetter"/>
      <w:pStyle w:val="Point4letter"/>
      <w:lvlText w:val="(%9)"/>
      <w:lvlJc w:val="left"/>
      <w:pPr>
        <w:tabs>
          <w:tab w:val="num" w:pos="3118"/>
        </w:tabs>
        <w:ind w:left="3118" w:hanging="567"/>
      </w:pPr>
      <w:rPr>
        <w:rFonts w:cs="Times New Roman"/>
      </w:rPr>
    </w:lvl>
  </w:abstractNum>
  <w:abstractNum w:abstractNumId="16" w15:restartNumberingAfterBreak="0">
    <w:nsid w:val="31EC63F2"/>
    <w:multiLevelType w:val="multilevel"/>
    <w:tmpl w:val="FD78A618"/>
    <w:lvl w:ilvl="0">
      <w:start w:val="1"/>
      <w:numFmt w:val="decimal"/>
      <w:pStyle w:val="Section"/>
      <w:lvlText w:val="(%1)"/>
      <w:lvlJc w:val="left"/>
      <w:pPr>
        <w:ind w:left="360" w:hanging="360"/>
      </w:pPr>
      <w:rPr>
        <w:rFonts w:cs="Times New Roman" w:hint="default"/>
        <w:b w:val="0"/>
      </w:rPr>
    </w:lvl>
    <w:lvl w:ilvl="1">
      <w:start w:val="1"/>
      <w:numFmt w:val="decimal"/>
      <w:lvlText w:val="%2)"/>
      <w:lvlJc w:val="left"/>
      <w:pPr>
        <w:ind w:left="720" w:hanging="360"/>
      </w:pPr>
      <w:rPr>
        <w:rFonts w:cs="Times New Roman" w:hint="default"/>
      </w:rPr>
    </w:lvl>
    <w:lvl w:ilvl="2">
      <w:start w:val="1"/>
      <w:numFmt w:val="decimal"/>
      <w:lvlText w:val="%2.%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7" w15:restartNumberingAfterBreak="0">
    <w:nsid w:val="333F25E7"/>
    <w:multiLevelType w:val="hybridMultilevel"/>
    <w:tmpl w:val="9A5AF8F8"/>
    <w:lvl w:ilvl="0" w:tplc="D2EC4CF2">
      <w:start w:val="1"/>
      <w:numFmt w:val="decimal"/>
      <w:lvlText w:val="%1)"/>
      <w:lvlJc w:val="left"/>
      <w:pPr>
        <w:ind w:left="720" w:hanging="360"/>
      </w:pPr>
      <w:rPr>
        <w:rFonts w:ascii="Times New Roman" w:hAnsi="Times New Roman" w:cs="Times New Roman" w:hint="default"/>
        <w:sz w:val="24"/>
        <w:szCs w:val="24"/>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8" w15:restartNumberingAfterBreak="0">
    <w:nsid w:val="362A237A"/>
    <w:multiLevelType w:val="hybridMultilevel"/>
    <w:tmpl w:val="FAE001C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9" w15:restartNumberingAfterBreak="0">
    <w:nsid w:val="36D139BC"/>
    <w:multiLevelType w:val="hybridMultilevel"/>
    <w:tmpl w:val="2FBA3CD8"/>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0" w15:restartNumberingAfterBreak="0">
    <w:nsid w:val="38986EE6"/>
    <w:multiLevelType w:val="multilevel"/>
    <w:tmpl w:val="84C62C7C"/>
    <w:lvl w:ilvl="0">
      <w:start w:val="1"/>
      <w:numFmt w:val="decimal"/>
      <w:pStyle w:val="PK1"/>
      <w:lvlText w:val="%1."/>
      <w:lvlJc w:val="left"/>
      <w:pPr>
        <w:ind w:left="720" w:hanging="360"/>
      </w:pPr>
      <w:rPr>
        <w:rFonts w:ascii="Cambria" w:hAnsi="Cambria" w:hint="default"/>
        <w:color w:val="00B0F0"/>
        <w:sz w:val="36"/>
      </w:rPr>
    </w:lvl>
    <w:lvl w:ilvl="1">
      <w:start w:val="1"/>
      <w:numFmt w:val="decimal"/>
      <w:pStyle w:val="PK2ige"/>
      <w:isLgl/>
      <w:lvlText w:val="%1.%2."/>
      <w:lvlJc w:val="left"/>
      <w:pPr>
        <w:ind w:left="3272" w:hanging="720"/>
      </w:pPr>
      <w:rPr>
        <w:rFonts w:hint="default"/>
        <w:sz w:val="26"/>
        <w:szCs w:val="26"/>
      </w:rPr>
    </w:lvl>
    <w:lvl w:ilvl="2">
      <w:start w:val="1"/>
      <w:numFmt w:val="decimal"/>
      <w:pStyle w:val="PK3"/>
      <w:isLgl/>
      <w:lvlText w:val="%1.%2.%3."/>
      <w:lvlJc w:val="left"/>
      <w:pPr>
        <w:ind w:left="1080" w:hanging="720"/>
      </w:pPr>
      <w:rPr>
        <w:rFonts w:hint="default"/>
      </w:rPr>
    </w:lvl>
    <w:lvl w:ilvl="3">
      <w:start w:val="1"/>
      <w:numFmt w:val="decimal"/>
      <w:pStyle w:val="PK4"/>
      <w:isLgl/>
      <w:lvlText w:val="%1.%2.%3.%4."/>
      <w:lvlJc w:val="left"/>
      <w:pPr>
        <w:ind w:left="1440" w:hanging="1080"/>
      </w:pPr>
      <w:rPr>
        <w:rFonts w:hint="default"/>
        <w:b w:val="0"/>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39140327"/>
    <w:multiLevelType w:val="hybridMultilevel"/>
    <w:tmpl w:val="4244AD72"/>
    <w:lvl w:ilvl="0" w:tplc="04250001">
      <w:start w:val="1"/>
      <w:numFmt w:val="bullet"/>
      <w:lvlText w:val=""/>
      <w:lvlJc w:val="left"/>
      <w:pPr>
        <w:ind w:left="360" w:hanging="360"/>
      </w:pPr>
      <w:rPr>
        <w:rFonts w:ascii="Symbol" w:hAnsi="Symbol"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22" w15:restartNumberingAfterBreak="0">
    <w:nsid w:val="3D5C2183"/>
    <w:multiLevelType w:val="hybridMultilevel"/>
    <w:tmpl w:val="01543D5E"/>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3" w15:restartNumberingAfterBreak="0">
    <w:nsid w:val="417B3CF6"/>
    <w:multiLevelType w:val="hybridMultilevel"/>
    <w:tmpl w:val="B792F1B4"/>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4" w15:restartNumberingAfterBreak="0">
    <w:nsid w:val="427B2EC2"/>
    <w:multiLevelType w:val="hybridMultilevel"/>
    <w:tmpl w:val="B00C44FA"/>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5" w15:restartNumberingAfterBreak="0">
    <w:nsid w:val="46B30BA8"/>
    <w:multiLevelType w:val="hybridMultilevel"/>
    <w:tmpl w:val="9F70F98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6" w15:restartNumberingAfterBreak="0">
    <w:nsid w:val="48B91E16"/>
    <w:multiLevelType w:val="hybridMultilevel"/>
    <w:tmpl w:val="69C421D4"/>
    <w:lvl w:ilvl="0" w:tplc="0252544E">
      <w:start w:val="1"/>
      <w:numFmt w:val="decimal"/>
      <w:lvlText w:val="%1)"/>
      <w:lvlJc w:val="left"/>
      <w:pPr>
        <w:ind w:left="720" w:hanging="360"/>
      </w:pPr>
      <w:rPr>
        <w:rFonts w:ascii="Times New Roman" w:hAnsi="Times New Roman" w:cs="Times New Roman" w:hint="default"/>
        <w:sz w:val="24"/>
        <w:szCs w:val="24"/>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7" w15:restartNumberingAfterBreak="0">
    <w:nsid w:val="4DBF4B97"/>
    <w:multiLevelType w:val="hybridMultilevel"/>
    <w:tmpl w:val="4364AD72"/>
    <w:lvl w:ilvl="0" w:tplc="75D4B172">
      <w:start w:val="1"/>
      <w:numFmt w:val="decimal"/>
      <w:lvlText w:val="%1."/>
      <w:lvlJc w:val="left"/>
      <w:pPr>
        <w:ind w:left="720" w:hanging="360"/>
      </w:pPr>
      <w:rPr>
        <w:rFonts w:ascii="Times New Roman" w:hAnsi="Times New Roman" w:cs="Times New Roman" w:hint="default"/>
        <w:sz w:val="24"/>
        <w:szCs w:val="24"/>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8" w15:restartNumberingAfterBreak="0">
    <w:nsid w:val="4F757996"/>
    <w:multiLevelType w:val="hybridMultilevel"/>
    <w:tmpl w:val="628AA098"/>
    <w:lvl w:ilvl="0" w:tplc="75E42A46">
      <w:start w:val="1"/>
      <w:numFmt w:val="decimal"/>
      <w:lvlText w:val="%1)"/>
      <w:lvlJc w:val="left"/>
      <w:pPr>
        <w:ind w:left="720" w:hanging="360"/>
      </w:pPr>
      <w:rPr>
        <w:rFonts w:ascii="Times New Roman" w:hAnsi="Times New Roman" w:cs="Times New Roman" w:hint="default"/>
        <w:sz w:val="24"/>
        <w:szCs w:val="24"/>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9" w15:restartNumberingAfterBreak="0">
    <w:nsid w:val="53AD62AC"/>
    <w:multiLevelType w:val="hybridMultilevel"/>
    <w:tmpl w:val="47947E60"/>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0" w15:restartNumberingAfterBreak="0">
    <w:nsid w:val="53C3311B"/>
    <w:multiLevelType w:val="hybridMultilevel"/>
    <w:tmpl w:val="0EB24582"/>
    <w:lvl w:ilvl="0" w:tplc="2336466A">
      <w:start w:val="1"/>
      <w:numFmt w:val="decimal"/>
      <w:lvlText w:val="%1)"/>
      <w:lvlJc w:val="left"/>
      <w:pPr>
        <w:ind w:left="720" w:hanging="360"/>
      </w:pPr>
      <w:rPr>
        <w:rFonts w:ascii="Times New Roman" w:hAnsi="Times New Roman" w:cs="Times New Roman" w:hint="default"/>
        <w:sz w:val="24"/>
        <w:szCs w:val="24"/>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1" w15:restartNumberingAfterBreak="0">
    <w:nsid w:val="56390158"/>
    <w:multiLevelType w:val="hybridMultilevel"/>
    <w:tmpl w:val="9CC0096A"/>
    <w:lvl w:ilvl="0" w:tplc="04250011">
      <w:start w:val="1"/>
      <w:numFmt w:val="decimal"/>
      <w:lvlText w:val="%1)"/>
      <w:lvlJc w:val="left"/>
      <w:pPr>
        <w:ind w:left="720" w:hanging="360"/>
      </w:pPr>
      <w:rPr>
        <w:rFonts w:hint="default"/>
        <w:u w:val="none"/>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2" w15:restartNumberingAfterBreak="0">
    <w:nsid w:val="57C56B2C"/>
    <w:multiLevelType w:val="hybridMultilevel"/>
    <w:tmpl w:val="8C60CB3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3" w15:restartNumberingAfterBreak="0">
    <w:nsid w:val="57F5232B"/>
    <w:multiLevelType w:val="hybridMultilevel"/>
    <w:tmpl w:val="DA3E0894"/>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4" w15:restartNumberingAfterBreak="0">
    <w:nsid w:val="69995580"/>
    <w:multiLevelType w:val="singleLevel"/>
    <w:tmpl w:val="01BCF3B0"/>
    <w:name w:val="List Number"/>
    <w:lvl w:ilvl="0">
      <w:start w:val="1"/>
      <w:numFmt w:val="decimal"/>
      <w:lvlRestart w:val="0"/>
      <w:pStyle w:val="Considrant"/>
      <w:lvlText w:val="(%1)"/>
      <w:lvlJc w:val="left"/>
      <w:pPr>
        <w:tabs>
          <w:tab w:val="num" w:pos="709"/>
        </w:tabs>
        <w:ind w:left="709" w:hanging="709"/>
      </w:pPr>
      <w:rPr>
        <w:rFonts w:cs="Times New Roman"/>
      </w:rPr>
    </w:lvl>
  </w:abstractNum>
  <w:abstractNum w:abstractNumId="35" w15:restartNumberingAfterBreak="0">
    <w:nsid w:val="6ACC6743"/>
    <w:multiLevelType w:val="hybridMultilevel"/>
    <w:tmpl w:val="5C20C558"/>
    <w:lvl w:ilvl="0" w:tplc="04250011">
      <w:start w:val="1"/>
      <w:numFmt w:val="decimal"/>
      <w:lvlText w:val="%1)"/>
      <w:lvlJc w:val="left"/>
      <w:pPr>
        <w:ind w:left="720" w:hanging="360"/>
      </w:pPr>
      <w:rPr>
        <w:rFonts w:hint="default"/>
      </w:rPr>
    </w:lvl>
    <w:lvl w:ilvl="1" w:tplc="51C421C4">
      <w:numFmt w:val="bullet"/>
      <w:lvlText w:val="•"/>
      <w:lvlJc w:val="left"/>
      <w:pPr>
        <w:ind w:left="1785" w:hanging="705"/>
      </w:pPr>
      <w:rPr>
        <w:rFonts w:ascii="Times New Roman" w:eastAsia="Times New Roman" w:hAnsi="Times New Roman" w:cs="Times New Roman" w:hint="default"/>
      </w:r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6" w15:restartNumberingAfterBreak="0">
    <w:nsid w:val="6B445039"/>
    <w:multiLevelType w:val="hybridMultilevel"/>
    <w:tmpl w:val="B530A202"/>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7" w15:restartNumberingAfterBreak="0">
    <w:nsid w:val="6E62780A"/>
    <w:multiLevelType w:val="hybridMultilevel"/>
    <w:tmpl w:val="E30E3E78"/>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8" w15:restartNumberingAfterBreak="0">
    <w:nsid w:val="6EC54042"/>
    <w:multiLevelType w:val="hybridMultilevel"/>
    <w:tmpl w:val="8D48A442"/>
    <w:lvl w:ilvl="0" w:tplc="2B303B98">
      <w:start w:val="1"/>
      <w:numFmt w:val="decimal"/>
      <w:lvlText w:val="%1)"/>
      <w:lvlJc w:val="left"/>
      <w:pPr>
        <w:ind w:left="720" w:hanging="360"/>
      </w:pPr>
      <w:rPr>
        <w:rFonts w:ascii="Times New Roman" w:hAnsi="Times New Roman" w:cs="Times New Roman" w:hint="default"/>
        <w:sz w:val="24"/>
        <w:szCs w:val="24"/>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9" w15:restartNumberingAfterBreak="0">
    <w:nsid w:val="6F21219B"/>
    <w:multiLevelType w:val="hybridMultilevel"/>
    <w:tmpl w:val="BF56FD72"/>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0" w15:restartNumberingAfterBreak="0">
    <w:nsid w:val="70CF7498"/>
    <w:multiLevelType w:val="hybridMultilevel"/>
    <w:tmpl w:val="9A4C0394"/>
    <w:lvl w:ilvl="0" w:tplc="95F204E8">
      <w:start w:val="1"/>
      <w:numFmt w:val="decimal"/>
      <w:lvlText w:val="%1."/>
      <w:lvlJc w:val="left"/>
      <w:pPr>
        <w:ind w:left="785" w:hanging="360"/>
      </w:pPr>
      <w:rPr>
        <w:rFonts w:ascii="Times New Roman" w:hAnsi="Times New Roman" w:cs="Times New Roman" w:hint="default"/>
        <w:strike w:val="0"/>
        <w:sz w:val="24"/>
        <w:szCs w:val="24"/>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1" w15:restartNumberingAfterBreak="0">
    <w:nsid w:val="71256849"/>
    <w:multiLevelType w:val="hybridMultilevel"/>
    <w:tmpl w:val="030AEA48"/>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2" w15:restartNumberingAfterBreak="0">
    <w:nsid w:val="727E2DB6"/>
    <w:multiLevelType w:val="hybridMultilevel"/>
    <w:tmpl w:val="66B6AC4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3" w15:restartNumberingAfterBreak="0">
    <w:nsid w:val="78191D31"/>
    <w:multiLevelType w:val="hybridMultilevel"/>
    <w:tmpl w:val="A6DA6516"/>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4" w15:restartNumberingAfterBreak="0">
    <w:nsid w:val="781D5471"/>
    <w:multiLevelType w:val="hybridMultilevel"/>
    <w:tmpl w:val="5F3878E6"/>
    <w:lvl w:ilvl="0" w:tplc="04250001">
      <w:start w:val="1"/>
      <w:numFmt w:val="bullet"/>
      <w:lvlText w:val=""/>
      <w:lvlJc w:val="left"/>
      <w:pPr>
        <w:ind w:left="845" w:hanging="360"/>
      </w:pPr>
      <w:rPr>
        <w:rFonts w:ascii="Symbol" w:hAnsi="Symbol" w:hint="default"/>
      </w:rPr>
    </w:lvl>
    <w:lvl w:ilvl="1" w:tplc="04250003" w:tentative="1">
      <w:start w:val="1"/>
      <w:numFmt w:val="bullet"/>
      <w:lvlText w:val="o"/>
      <w:lvlJc w:val="left"/>
      <w:pPr>
        <w:ind w:left="1565" w:hanging="360"/>
      </w:pPr>
      <w:rPr>
        <w:rFonts w:ascii="Courier New" w:hAnsi="Courier New" w:cs="Courier New" w:hint="default"/>
      </w:rPr>
    </w:lvl>
    <w:lvl w:ilvl="2" w:tplc="04250005" w:tentative="1">
      <w:start w:val="1"/>
      <w:numFmt w:val="bullet"/>
      <w:lvlText w:val=""/>
      <w:lvlJc w:val="left"/>
      <w:pPr>
        <w:ind w:left="2285" w:hanging="360"/>
      </w:pPr>
      <w:rPr>
        <w:rFonts w:ascii="Wingdings" w:hAnsi="Wingdings" w:hint="default"/>
      </w:rPr>
    </w:lvl>
    <w:lvl w:ilvl="3" w:tplc="04250001" w:tentative="1">
      <w:start w:val="1"/>
      <w:numFmt w:val="bullet"/>
      <w:lvlText w:val=""/>
      <w:lvlJc w:val="left"/>
      <w:pPr>
        <w:ind w:left="3005" w:hanging="360"/>
      </w:pPr>
      <w:rPr>
        <w:rFonts w:ascii="Symbol" w:hAnsi="Symbol" w:hint="default"/>
      </w:rPr>
    </w:lvl>
    <w:lvl w:ilvl="4" w:tplc="04250003" w:tentative="1">
      <w:start w:val="1"/>
      <w:numFmt w:val="bullet"/>
      <w:lvlText w:val="o"/>
      <w:lvlJc w:val="left"/>
      <w:pPr>
        <w:ind w:left="3725" w:hanging="360"/>
      </w:pPr>
      <w:rPr>
        <w:rFonts w:ascii="Courier New" w:hAnsi="Courier New" w:cs="Courier New" w:hint="default"/>
      </w:rPr>
    </w:lvl>
    <w:lvl w:ilvl="5" w:tplc="04250005" w:tentative="1">
      <w:start w:val="1"/>
      <w:numFmt w:val="bullet"/>
      <w:lvlText w:val=""/>
      <w:lvlJc w:val="left"/>
      <w:pPr>
        <w:ind w:left="4445" w:hanging="360"/>
      </w:pPr>
      <w:rPr>
        <w:rFonts w:ascii="Wingdings" w:hAnsi="Wingdings" w:hint="default"/>
      </w:rPr>
    </w:lvl>
    <w:lvl w:ilvl="6" w:tplc="04250001" w:tentative="1">
      <w:start w:val="1"/>
      <w:numFmt w:val="bullet"/>
      <w:lvlText w:val=""/>
      <w:lvlJc w:val="left"/>
      <w:pPr>
        <w:ind w:left="5165" w:hanging="360"/>
      </w:pPr>
      <w:rPr>
        <w:rFonts w:ascii="Symbol" w:hAnsi="Symbol" w:hint="default"/>
      </w:rPr>
    </w:lvl>
    <w:lvl w:ilvl="7" w:tplc="04250003" w:tentative="1">
      <w:start w:val="1"/>
      <w:numFmt w:val="bullet"/>
      <w:lvlText w:val="o"/>
      <w:lvlJc w:val="left"/>
      <w:pPr>
        <w:ind w:left="5885" w:hanging="360"/>
      </w:pPr>
      <w:rPr>
        <w:rFonts w:ascii="Courier New" w:hAnsi="Courier New" w:cs="Courier New" w:hint="default"/>
      </w:rPr>
    </w:lvl>
    <w:lvl w:ilvl="8" w:tplc="04250005" w:tentative="1">
      <w:start w:val="1"/>
      <w:numFmt w:val="bullet"/>
      <w:lvlText w:val=""/>
      <w:lvlJc w:val="left"/>
      <w:pPr>
        <w:ind w:left="6605" w:hanging="360"/>
      </w:pPr>
      <w:rPr>
        <w:rFonts w:ascii="Wingdings" w:hAnsi="Wingdings" w:hint="default"/>
      </w:rPr>
    </w:lvl>
  </w:abstractNum>
  <w:abstractNum w:abstractNumId="45" w15:restartNumberingAfterBreak="0">
    <w:nsid w:val="78CE43F5"/>
    <w:multiLevelType w:val="hybridMultilevel"/>
    <w:tmpl w:val="927AEF20"/>
    <w:lvl w:ilvl="0" w:tplc="0425000F">
      <w:start w:val="1"/>
      <w:numFmt w:val="decimal"/>
      <w:lvlText w:val="%1."/>
      <w:lvlJc w:val="left"/>
      <w:pPr>
        <w:ind w:left="720" w:hanging="360"/>
      </w:pPr>
      <w:rPr>
        <w:rFonts w:hint="default"/>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6" w15:restartNumberingAfterBreak="0">
    <w:nsid w:val="7A932A31"/>
    <w:multiLevelType w:val="hybridMultilevel"/>
    <w:tmpl w:val="797AAFC6"/>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0"/>
  </w:num>
  <w:num w:numId="2">
    <w:abstractNumId w:val="1"/>
  </w:num>
  <w:num w:numId="3">
    <w:abstractNumId w:val="34"/>
  </w:num>
  <w:num w:numId="4">
    <w:abstractNumId w:val="15"/>
  </w:num>
  <w:num w:numId="5">
    <w:abstractNumId w:val="16"/>
  </w:num>
  <w:num w:numId="6">
    <w:abstractNumId w:val="5"/>
  </w:num>
  <w:num w:numId="7">
    <w:abstractNumId w:val="20"/>
  </w:num>
  <w:num w:numId="8">
    <w:abstractNumId w:val="18"/>
  </w:num>
  <w:num w:numId="9">
    <w:abstractNumId w:val="14"/>
  </w:num>
  <w:num w:numId="10">
    <w:abstractNumId w:val="43"/>
  </w:num>
  <w:num w:numId="11">
    <w:abstractNumId w:val="9"/>
  </w:num>
  <w:num w:numId="12">
    <w:abstractNumId w:val="12"/>
  </w:num>
  <w:num w:numId="13">
    <w:abstractNumId w:val="2"/>
  </w:num>
  <w:num w:numId="14">
    <w:abstractNumId w:val="19"/>
  </w:num>
  <w:num w:numId="15">
    <w:abstractNumId w:val="7"/>
  </w:num>
  <w:num w:numId="16">
    <w:abstractNumId w:val="31"/>
  </w:num>
  <w:num w:numId="17">
    <w:abstractNumId w:val="21"/>
  </w:num>
  <w:num w:numId="18">
    <w:abstractNumId w:val="22"/>
  </w:num>
  <w:num w:numId="19">
    <w:abstractNumId w:val="35"/>
  </w:num>
  <w:num w:numId="20">
    <w:abstractNumId w:val="26"/>
  </w:num>
  <w:num w:numId="21">
    <w:abstractNumId w:val="42"/>
  </w:num>
  <w:num w:numId="22">
    <w:abstractNumId w:val="17"/>
  </w:num>
  <w:num w:numId="23">
    <w:abstractNumId w:val="24"/>
  </w:num>
  <w:num w:numId="24">
    <w:abstractNumId w:val="39"/>
  </w:num>
  <w:num w:numId="25">
    <w:abstractNumId w:val="8"/>
  </w:num>
  <w:num w:numId="26">
    <w:abstractNumId w:val="27"/>
  </w:num>
  <w:num w:numId="27">
    <w:abstractNumId w:val="37"/>
  </w:num>
  <w:num w:numId="28">
    <w:abstractNumId w:val="23"/>
  </w:num>
  <w:num w:numId="29">
    <w:abstractNumId w:val="25"/>
  </w:num>
  <w:num w:numId="30">
    <w:abstractNumId w:val="32"/>
  </w:num>
  <w:num w:numId="31">
    <w:abstractNumId w:val="44"/>
  </w:num>
  <w:num w:numId="32">
    <w:abstractNumId w:val="10"/>
  </w:num>
  <w:num w:numId="33">
    <w:abstractNumId w:val="38"/>
  </w:num>
  <w:num w:numId="34">
    <w:abstractNumId w:val="28"/>
  </w:num>
  <w:num w:numId="35">
    <w:abstractNumId w:val="33"/>
  </w:num>
  <w:num w:numId="36">
    <w:abstractNumId w:val="29"/>
  </w:num>
  <w:num w:numId="37">
    <w:abstractNumId w:val="30"/>
  </w:num>
  <w:num w:numId="38">
    <w:abstractNumId w:val="11"/>
  </w:num>
  <w:num w:numId="39">
    <w:abstractNumId w:val="13"/>
  </w:num>
  <w:num w:numId="40">
    <w:abstractNumId w:val="4"/>
  </w:num>
  <w:num w:numId="41">
    <w:abstractNumId w:val="41"/>
  </w:num>
  <w:num w:numId="42">
    <w:abstractNumId w:val="45"/>
  </w:num>
  <w:num w:numId="43">
    <w:abstractNumId w:val="46"/>
  </w:num>
  <w:num w:numId="44">
    <w:abstractNumId w:val="40"/>
  </w:num>
  <w:num w:numId="45">
    <w:abstractNumId w:val="3"/>
  </w:num>
  <w:num w:numId="46">
    <w:abstractNumId w:val="36"/>
  </w:num>
  <w:num w:numId="47">
    <w:abstractNumId w:val="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C57"/>
    <w:rsid w:val="000009FE"/>
    <w:rsid w:val="00000BBB"/>
    <w:rsid w:val="00002889"/>
    <w:rsid w:val="000037E2"/>
    <w:rsid w:val="00010E4E"/>
    <w:rsid w:val="00015FB4"/>
    <w:rsid w:val="00024ACC"/>
    <w:rsid w:val="000252F3"/>
    <w:rsid w:val="00026796"/>
    <w:rsid w:val="00032221"/>
    <w:rsid w:val="0003517F"/>
    <w:rsid w:val="000356B7"/>
    <w:rsid w:val="000371AD"/>
    <w:rsid w:val="00042F71"/>
    <w:rsid w:val="00050732"/>
    <w:rsid w:val="00050EE3"/>
    <w:rsid w:val="000624D1"/>
    <w:rsid w:val="00062E9A"/>
    <w:rsid w:val="0006345D"/>
    <w:rsid w:val="00071CCE"/>
    <w:rsid w:val="00074789"/>
    <w:rsid w:val="000804E3"/>
    <w:rsid w:val="00081E71"/>
    <w:rsid w:val="00081FC9"/>
    <w:rsid w:val="000875B4"/>
    <w:rsid w:val="000912BD"/>
    <w:rsid w:val="00091496"/>
    <w:rsid w:val="00091889"/>
    <w:rsid w:val="000943F5"/>
    <w:rsid w:val="000A3018"/>
    <w:rsid w:val="000A56C6"/>
    <w:rsid w:val="000B0158"/>
    <w:rsid w:val="000B65BF"/>
    <w:rsid w:val="000C3305"/>
    <w:rsid w:val="000C453E"/>
    <w:rsid w:val="000C584E"/>
    <w:rsid w:val="000D21C6"/>
    <w:rsid w:val="000D389E"/>
    <w:rsid w:val="000E07EC"/>
    <w:rsid w:val="000E0F26"/>
    <w:rsid w:val="000E16A0"/>
    <w:rsid w:val="000E16D4"/>
    <w:rsid w:val="000E2DFD"/>
    <w:rsid w:val="000E3863"/>
    <w:rsid w:val="000E4C60"/>
    <w:rsid w:val="000E4F7B"/>
    <w:rsid w:val="000F05C8"/>
    <w:rsid w:val="000F428E"/>
    <w:rsid w:val="001010B6"/>
    <w:rsid w:val="00105CE1"/>
    <w:rsid w:val="0010622D"/>
    <w:rsid w:val="00110280"/>
    <w:rsid w:val="00113DEE"/>
    <w:rsid w:val="00121E69"/>
    <w:rsid w:val="00125338"/>
    <w:rsid w:val="001270F6"/>
    <w:rsid w:val="00127B1C"/>
    <w:rsid w:val="00130360"/>
    <w:rsid w:val="001330E8"/>
    <w:rsid w:val="00134AC7"/>
    <w:rsid w:val="001354A7"/>
    <w:rsid w:val="0013740A"/>
    <w:rsid w:val="0014199B"/>
    <w:rsid w:val="00150BEA"/>
    <w:rsid w:val="001613BF"/>
    <w:rsid w:val="00162665"/>
    <w:rsid w:val="001632E2"/>
    <w:rsid w:val="001702A1"/>
    <w:rsid w:val="0017531B"/>
    <w:rsid w:val="001772A9"/>
    <w:rsid w:val="001777C7"/>
    <w:rsid w:val="00181561"/>
    <w:rsid w:val="0018301D"/>
    <w:rsid w:val="00184067"/>
    <w:rsid w:val="001871BC"/>
    <w:rsid w:val="00190F6D"/>
    <w:rsid w:val="0019147B"/>
    <w:rsid w:val="001916B7"/>
    <w:rsid w:val="00193180"/>
    <w:rsid w:val="00195D70"/>
    <w:rsid w:val="00195FBE"/>
    <w:rsid w:val="0019700C"/>
    <w:rsid w:val="0019719D"/>
    <w:rsid w:val="00197FF0"/>
    <w:rsid w:val="001A0BAB"/>
    <w:rsid w:val="001A46D4"/>
    <w:rsid w:val="001A4B01"/>
    <w:rsid w:val="001A5FC7"/>
    <w:rsid w:val="001A6784"/>
    <w:rsid w:val="001A7C36"/>
    <w:rsid w:val="001A7F82"/>
    <w:rsid w:val="001B1696"/>
    <w:rsid w:val="001B3376"/>
    <w:rsid w:val="001B71D1"/>
    <w:rsid w:val="001C04D3"/>
    <w:rsid w:val="001C268C"/>
    <w:rsid w:val="001C68A2"/>
    <w:rsid w:val="001D0278"/>
    <w:rsid w:val="001D1CAC"/>
    <w:rsid w:val="001D432A"/>
    <w:rsid w:val="001D4F38"/>
    <w:rsid w:val="001D58C8"/>
    <w:rsid w:val="001E2148"/>
    <w:rsid w:val="001E2D6C"/>
    <w:rsid w:val="001E42C5"/>
    <w:rsid w:val="001E5659"/>
    <w:rsid w:val="001E6100"/>
    <w:rsid w:val="001E6633"/>
    <w:rsid w:val="001E7704"/>
    <w:rsid w:val="001E7CF2"/>
    <w:rsid w:val="001F1553"/>
    <w:rsid w:val="001F18D3"/>
    <w:rsid w:val="001F3802"/>
    <w:rsid w:val="001F6D94"/>
    <w:rsid w:val="00205EF4"/>
    <w:rsid w:val="002064F4"/>
    <w:rsid w:val="00207CEF"/>
    <w:rsid w:val="00213735"/>
    <w:rsid w:val="002140B9"/>
    <w:rsid w:val="0021699C"/>
    <w:rsid w:val="00217316"/>
    <w:rsid w:val="0022238D"/>
    <w:rsid w:val="002235C4"/>
    <w:rsid w:val="00223D54"/>
    <w:rsid w:val="002255C5"/>
    <w:rsid w:val="00226ADA"/>
    <w:rsid w:val="00227669"/>
    <w:rsid w:val="0023765A"/>
    <w:rsid w:val="0024184B"/>
    <w:rsid w:val="00244752"/>
    <w:rsid w:val="00245646"/>
    <w:rsid w:val="00250B5E"/>
    <w:rsid w:val="00250F16"/>
    <w:rsid w:val="00256630"/>
    <w:rsid w:val="002567B6"/>
    <w:rsid w:val="00257BD5"/>
    <w:rsid w:val="002606D0"/>
    <w:rsid w:val="0026158C"/>
    <w:rsid w:val="00262CF5"/>
    <w:rsid w:val="002661DD"/>
    <w:rsid w:val="00266D6A"/>
    <w:rsid w:val="0027165F"/>
    <w:rsid w:val="00274107"/>
    <w:rsid w:val="0028179C"/>
    <w:rsid w:val="002820C9"/>
    <w:rsid w:val="00284CA3"/>
    <w:rsid w:val="0028708C"/>
    <w:rsid w:val="00290000"/>
    <w:rsid w:val="002937D0"/>
    <w:rsid w:val="00294068"/>
    <w:rsid w:val="00295365"/>
    <w:rsid w:val="00295F0C"/>
    <w:rsid w:val="002A7826"/>
    <w:rsid w:val="002B019A"/>
    <w:rsid w:val="002B0D73"/>
    <w:rsid w:val="002B43C4"/>
    <w:rsid w:val="002B6BFC"/>
    <w:rsid w:val="002B6C3D"/>
    <w:rsid w:val="002B6CDD"/>
    <w:rsid w:val="002B74E6"/>
    <w:rsid w:val="002B76FB"/>
    <w:rsid w:val="002C1F48"/>
    <w:rsid w:val="002C4A96"/>
    <w:rsid w:val="002D6612"/>
    <w:rsid w:val="002E24EA"/>
    <w:rsid w:val="002E2846"/>
    <w:rsid w:val="002E60E4"/>
    <w:rsid w:val="002E6552"/>
    <w:rsid w:val="002F0398"/>
    <w:rsid w:val="002F19B2"/>
    <w:rsid w:val="002F3917"/>
    <w:rsid w:val="002F3B3C"/>
    <w:rsid w:val="002F3C87"/>
    <w:rsid w:val="002F51DA"/>
    <w:rsid w:val="003004BF"/>
    <w:rsid w:val="00301607"/>
    <w:rsid w:val="00301D26"/>
    <w:rsid w:val="0030321D"/>
    <w:rsid w:val="00303421"/>
    <w:rsid w:val="00305A60"/>
    <w:rsid w:val="00314A92"/>
    <w:rsid w:val="00322CE9"/>
    <w:rsid w:val="0032359E"/>
    <w:rsid w:val="003236BE"/>
    <w:rsid w:val="00324C7A"/>
    <w:rsid w:val="00330D66"/>
    <w:rsid w:val="00333E60"/>
    <w:rsid w:val="0033423E"/>
    <w:rsid w:val="00335CAA"/>
    <w:rsid w:val="00335D79"/>
    <w:rsid w:val="00337FB3"/>
    <w:rsid w:val="003401C6"/>
    <w:rsid w:val="00340338"/>
    <w:rsid w:val="00341BF2"/>
    <w:rsid w:val="0035110F"/>
    <w:rsid w:val="00352308"/>
    <w:rsid w:val="00355C73"/>
    <w:rsid w:val="00356F6D"/>
    <w:rsid w:val="00356F7E"/>
    <w:rsid w:val="0036195A"/>
    <w:rsid w:val="00364DDA"/>
    <w:rsid w:val="00365447"/>
    <w:rsid w:val="00372E7E"/>
    <w:rsid w:val="003751EE"/>
    <w:rsid w:val="00380A93"/>
    <w:rsid w:val="003845FC"/>
    <w:rsid w:val="00384C3E"/>
    <w:rsid w:val="003854AB"/>
    <w:rsid w:val="00386A0F"/>
    <w:rsid w:val="00386FF2"/>
    <w:rsid w:val="003916E2"/>
    <w:rsid w:val="00393D98"/>
    <w:rsid w:val="00396B91"/>
    <w:rsid w:val="00397CA7"/>
    <w:rsid w:val="003A1502"/>
    <w:rsid w:val="003B0F77"/>
    <w:rsid w:val="003B3581"/>
    <w:rsid w:val="003B4B91"/>
    <w:rsid w:val="003C0734"/>
    <w:rsid w:val="003C182C"/>
    <w:rsid w:val="003C1860"/>
    <w:rsid w:val="003C1A63"/>
    <w:rsid w:val="003C264F"/>
    <w:rsid w:val="003C5E68"/>
    <w:rsid w:val="003C60E2"/>
    <w:rsid w:val="003C7347"/>
    <w:rsid w:val="003D331C"/>
    <w:rsid w:val="003D3763"/>
    <w:rsid w:val="003D65BE"/>
    <w:rsid w:val="003E0330"/>
    <w:rsid w:val="003E17CB"/>
    <w:rsid w:val="003E3A57"/>
    <w:rsid w:val="003E526D"/>
    <w:rsid w:val="003E6750"/>
    <w:rsid w:val="003E6FDB"/>
    <w:rsid w:val="003F3EB6"/>
    <w:rsid w:val="003F57F5"/>
    <w:rsid w:val="003F6CFB"/>
    <w:rsid w:val="003F7052"/>
    <w:rsid w:val="003F7529"/>
    <w:rsid w:val="0040480F"/>
    <w:rsid w:val="00410591"/>
    <w:rsid w:val="004117BB"/>
    <w:rsid w:val="00412EDB"/>
    <w:rsid w:val="0041452F"/>
    <w:rsid w:val="0041522A"/>
    <w:rsid w:val="004163C4"/>
    <w:rsid w:val="0041722B"/>
    <w:rsid w:val="00420642"/>
    <w:rsid w:val="004276D4"/>
    <w:rsid w:val="004305A0"/>
    <w:rsid w:val="004319BA"/>
    <w:rsid w:val="00433AAE"/>
    <w:rsid w:val="00433BDE"/>
    <w:rsid w:val="004342FA"/>
    <w:rsid w:val="004346E8"/>
    <w:rsid w:val="0043799A"/>
    <w:rsid w:val="00440CFC"/>
    <w:rsid w:val="004437D4"/>
    <w:rsid w:val="00443FA6"/>
    <w:rsid w:val="00447D61"/>
    <w:rsid w:val="004500C3"/>
    <w:rsid w:val="004513A8"/>
    <w:rsid w:val="0045542B"/>
    <w:rsid w:val="00460320"/>
    <w:rsid w:val="0046237C"/>
    <w:rsid w:val="00465E52"/>
    <w:rsid w:val="0047224F"/>
    <w:rsid w:val="00472D42"/>
    <w:rsid w:val="00473D61"/>
    <w:rsid w:val="004757DF"/>
    <w:rsid w:val="00485C86"/>
    <w:rsid w:val="004930BB"/>
    <w:rsid w:val="00494C88"/>
    <w:rsid w:val="00494DBD"/>
    <w:rsid w:val="00495F0B"/>
    <w:rsid w:val="004964B6"/>
    <w:rsid w:val="004A091C"/>
    <w:rsid w:val="004A5645"/>
    <w:rsid w:val="004A58AB"/>
    <w:rsid w:val="004A5ECC"/>
    <w:rsid w:val="004A6F99"/>
    <w:rsid w:val="004B3006"/>
    <w:rsid w:val="004C1757"/>
    <w:rsid w:val="004C3695"/>
    <w:rsid w:val="004C6C79"/>
    <w:rsid w:val="004C7653"/>
    <w:rsid w:val="004D0FBF"/>
    <w:rsid w:val="004D1FC7"/>
    <w:rsid w:val="004D769E"/>
    <w:rsid w:val="004D79AF"/>
    <w:rsid w:val="004E6CBB"/>
    <w:rsid w:val="004F0EAD"/>
    <w:rsid w:val="004F44ED"/>
    <w:rsid w:val="004F6B69"/>
    <w:rsid w:val="005046A8"/>
    <w:rsid w:val="0050484E"/>
    <w:rsid w:val="005065D4"/>
    <w:rsid w:val="005112B9"/>
    <w:rsid w:val="00511A03"/>
    <w:rsid w:val="00512A8C"/>
    <w:rsid w:val="00520AC8"/>
    <w:rsid w:val="00520F35"/>
    <w:rsid w:val="00523D62"/>
    <w:rsid w:val="00524497"/>
    <w:rsid w:val="00530EE4"/>
    <w:rsid w:val="00533120"/>
    <w:rsid w:val="00537258"/>
    <w:rsid w:val="0054738A"/>
    <w:rsid w:val="00556989"/>
    <w:rsid w:val="0056025D"/>
    <w:rsid w:val="00561181"/>
    <w:rsid w:val="0056544B"/>
    <w:rsid w:val="0057412C"/>
    <w:rsid w:val="00574721"/>
    <w:rsid w:val="00580514"/>
    <w:rsid w:val="00584490"/>
    <w:rsid w:val="00586EEA"/>
    <w:rsid w:val="00592E0A"/>
    <w:rsid w:val="00595128"/>
    <w:rsid w:val="005A3F05"/>
    <w:rsid w:val="005B1C42"/>
    <w:rsid w:val="005B294A"/>
    <w:rsid w:val="005B720D"/>
    <w:rsid w:val="005C0228"/>
    <w:rsid w:val="005C0F39"/>
    <w:rsid w:val="005C31DE"/>
    <w:rsid w:val="005C3E44"/>
    <w:rsid w:val="005C6BBC"/>
    <w:rsid w:val="005C6BD5"/>
    <w:rsid w:val="005C730C"/>
    <w:rsid w:val="005D5038"/>
    <w:rsid w:val="005D56EE"/>
    <w:rsid w:val="005E5EA9"/>
    <w:rsid w:val="005F1771"/>
    <w:rsid w:val="005F39A8"/>
    <w:rsid w:val="005F6F5C"/>
    <w:rsid w:val="00600533"/>
    <w:rsid w:val="00602F33"/>
    <w:rsid w:val="00605BE6"/>
    <w:rsid w:val="006115CD"/>
    <w:rsid w:val="006144D7"/>
    <w:rsid w:val="00615F7F"/>
    <w:rsid w:val="00622A41"/>
    <w:rsid w:val="006275E7"/>
    <w:rsid w:val="00627E9A"/>
    <w:rsid w:val="00630044"/>
    <w:rsid w:val="00631245"/>
    <w:rsid w:val="00632F83"/>
    <w:rsid w:val="00637A79"/>
    <w:rsid w:val="006446D9"/>
    <w:rsid w:val="00644FC3"/>
    <w:rsid w:val="006551F9"/>
    <w:rsid w:val="00656F9B"/>
    <w:rsid w:val="0066670D"/>
    <w:rsid w:val="0067449A"/>
    <w:rsid w:val="00675BA9"/>
    <w:rsid w:val="0068457C"/>
    <w:rsid w:val="00684A87"/>
    <w:rsid w:val="006851DC"/>
    <w:rsid w:val="00686A6B"/>
    <w:rsid w:val="00693826"/>
    <w:rsid w:val="00695ED0"/>
    <w:rsid w:val="0069659F"/>
    <w:rsid w:val="006A3D13"/>
    <w:rsid w:val="006A4270"/>
    <w:rsid w:val="006A4C94"/>
    <w:rsid w:val="006A506F"/>
    <w:rsid w:val="006A5A8C"/>
    <w:rsid w:val="006A7255"/>
    <w:rsid w:val="006A7466"/>
    <w:rsid w:val="006A75BB"/>
    <w:rsid w:val="006B0388"/>
    <w:rsid w:val="006C0235"/>
    <w:rsid w:val="006C2C14"/>
    <w:rsid w:val="006C5C89"/>
    <w:rsid w:val="006D6683"/>
    <w:rsid w:val="006D7599"/>
    <w:rsid w:val="006E09D8"/>
    <w:rsid w:val="006F124D"/>
    <w:rsid w:val="006F1E21"/>
    <w:rsid w:val="006F37AA"/>
    <w:rsid w:val="006F6A8B"/>
    <w:rsid w:val="006F7F1B"/>
    <w:rsid w:val="00702F0D"/>
    <w:rsid w:val="00710B83"/>
    <w:rsid w:val="00716415"/>
    <w:rsid w:val="0072226F"/>
    <w:rsid w:val="0072263C"/>
    <w:rsid w:val="0072445E"/>
    <w:rsid w:val="00724565"/>
    <w:rsid w:val="007249BD"/>
    <w:rsid w:val="00724FD1"/>
    <w:rsid w:val="0073078D"/>
    <w:rsid w:val="00731A58"/>
    <w:rsid w:val="00736D68"/>
    <w:rsid w:val="00737414"/>
    <w:rsid w:val="0073752C"/>
    <w:rsid w:val="007405B1"/>
    <w:rsid w:val="00745B6D"/>
    <w:rsid w:val="00752841"/>
    <w:rsid w:val="007723F9"/>
    <w:rsid w:val="00775EC3"/>
    <w:rsid w:val="0077739C"/>
    <w:rsid w:val="00777D8F"/>
    <w:rsid w:val="00781A4D"/>
    <w:rsid w:val="00781FA3"/>
    <w:rsid w:val="00784F14"/>
    <w:rsid w:val="00790032"/>
    <w:rsid w:val="00794229"/>
    <w:rsid w:val="007963FE"/>
    <w:rsid w:val="007A112C"/>
    <w:rsid w:val="007A1D48"/>
    <w:rsid w:val="007A264C"/>
    <w:rsid w:val="007A2894"/>
    <w:rsid w:val="007A463C"/>
    <w:rsid w:val="007A6D10"/>
    <w:rsid w:val="007B2C7D"/>
    <w:rsid w:val="007B371F"/>
    <w:rsid w:val="007C0E23"/>
    <w:rsid w:val="007C3A65"/>
    <w:rsid w:val="007C6EFD"/>
    <w:rsid w:val="007D07C1"/>
    <w:rsid w:val="007D1954"/>
    <w:rsid w:val="007D1DB5"/>
    <w:rsid w:val="007D7856"/>
    <w:rsid w:val="007E0950"/>
    <w:rsid w:val="007E1993"/>
    <w:rsid w:val="007E201B"/>
    <w:rsid w:val="007E3856"/>
    <w:rsid w:val="007E4FD7"/>
    <w:rsid w:val="007E59AF"/>
    <w:rsid w:val="007E7079"/>
    <w:rsid w:val="007E72D2"/>
    <w:rsid w:val="007F1508"/>
    <w:rsid w:val="007F33B4"/>
    <w:rsid w:val="007F45ED"/>
    <w:rsid w:val="007F4BC9"/>
    <w:rsid w:val="00800C0E"/>
    <w:rsid w:val="00803A63"/>
    <w:rsid w:val="00806735"/>
    <w:rsid w:val="00807553"/>
    <w:rsid w:val="00807AE6"/>
    <w:rsid w:val="0081190C"/>
    <w:rsid w:val="00812DF6"/>
    <w:rsid w:val="00815381"/>
    <w:rsid w:val="00820282"/>
    <w:rsid w:val="00824B1E"/>
    <w:rsid w:val="00825B4F"/>
    <w:rsid w:val="00827527"/>
    <w:rsid w:val="00827D37"/>
    <w:rsid w:val="008342B5"/>
    <w:rsid w:val="00836389"/>
    <w:rsid w:val="00836EFA"/>
    <w:rsid w:val="00847B3A"/>
    <w:rsid w:val="00850EE0"/>
    <w:rsid w:val="008543CF"/>
    <w:rsid w:val="008556AD"/>
    <w:rsid w:val="00860A19"/>
    <w:rsid w:val="00862F1C"/>
    <w:rsid w:val="008661AC"/>
    <w:rsid w:val="00866E37"/>
    <w:rsid w:val="00870A1D"/>
    <w:rsid w:val="008714D1"/>
    <w:rsid w:val="00871EB8"/>
    <w:rsid w:val="00875C45"/>
    <w:rsid w:val="00876823"/>
    <w:rsid w:val="00881647"/>
    <w:rsid w:val="00882C44"/>
    <w:rsid w:val="00883C3C"/>
    <w:rsid w:val="00883EA5"/>
    <w:rsid w:val="00885BA6"/>
    <w:rsid w:val="00892DA1"/>
    <w:rsid w:val="008934CA"/>
    <w:rsid w:val="00893D3C"/>
    <w:rsid w:val="008A1ECA"/>
    <w:rsid w:val="008A52DC"/>
    <w:rsid w:val="008B2FCD"/>
    <w:rsid w:val="008B671E"/>
    <w:rsid w:val="008B6C41"/>
    <w:rsid w:val="008C1972"/>
    <w:rsid w:val="008C2931"/>
    <w:rsid w:val="008C5369"/>
    <w:rsid w:val="008C7B87"/>
    <w:rsid w:val="008D0F1C"/>
    <w:rsid w:val="008D5CDD"/>
    <w:rsid w:val="008D67DD"/>
    <w:rsid w:val="008D74A0"/>
    <w:rsid w:val="008E2E65"/>
    <w:rsid w:val="008E4331"/>
    <w:rsid w:val="008F15B3"/>
    <w:rsid w:val="008F33F1"/>
    <w:rsid w:val="008F40E5"/>
    <w:rsid w:val="008F5F2B"/>
    <w:rsid w:val="008F7FA2"/>
    <w:rsid w:val="00906647"/>
    <w:rsid w:val="009105F2"/>
    <w:rsid w:val="00912F65"/>
    <w:rsid w:val="00916BD8"/>
    <w:rsid w:val="00916D8B"/>
    <w:rsid w:val="0092558E"/>
    <w:rsid w:val="00926BC9"/>
    <w:rsid w:val="009302BE"/>
    <w:rsid w:val="009302FF"/>
    <w:rsid w:val="009341AA"/>
    <w:rsid w:val="0094045A"/>
    <w:rsid w:val="00942E14"/>
    <w:rsid w:val="00943EBE"/>
    <w:rsid w:val="00947AA0"/>
    <w:rsid w:val="009524C7"/>
    <w:rsid w:val="00953C06"/>
    <w:rsid w:val="009559AC"/>
    <w:rsid w:val="00957A6E"/>
    <w:rsid w:val="00962436"/>
    <w:rsid w:val="00967F0C"/>
    <w:rsid w:val="00973C83"/>
    <w:rsid w:val="009743F7"/>
    <w:rsid w:val="00974AB6"/>
    <w:rsid w:val="009A0FDD"/>
    <w:rsid w:val="009A5412"/>
    <w:rsid w:val="009B258E"/>
    <w:rsid w:val="009C571F"/>
    <w:rsid w:val="009C6457"/>
    <w:rsid w:val="009D2A64"/>
    <w:rsid w:val="009D3DF7"/>
    <w:rsid w:val="009D402B"/>
    <w:rsid w:val="009E0C03"/>
    <w:rsid w:val="009E5D03"/>
    <w:rsid w:val="009F106B"/>
    <w:rsid w:val="009F536E"/>
    <w:rsid w:val="00A01B0D"/>
    <w:rsid w:val="00A03036"/>
    <w:rsid w:val="00A038EF"/>
    <w:rsid w:val="00A039E2"/>
    <w:rsid w:val="00A067D6"/>
    <w:rsid w:val="00A136F8"/>
    <w:rsid w:val="00A13A3E"/>
    <w:rsid w:val="00A173A8"/>
    <w:rsid w:val="00A2543A"/>
    <w:rsid w:val="00A261D2"/>
    <w:rsid w:val="00A30C9D"/>
    <w:rsid w:val="00A312C5"/>
    <w:rsid w:val="00A357B1"/>
    <w:rsid w:val="00A42DBB"/>
    <w:rsid w:val="00A44C02"/>
    <w:rsid w:val="00A46E17"/>
    <w:rsid w:val="00A470A5"/>
    <w:rsid w:val="00A51B73"/>
    <w:rsid w:val="00A51E27"/>
    <w:rsid w:val="00A52323"/>
    <w:rsid w:val="00A52BA3"/>
    <w:rsid w:val="00A53B64"/>
    <w:rsid w:val="00A60C4D"/>
    <w:rsid w:val="00A60E20"/>
    <w:rsid w:val="00A63C0F"/>
    <w:rsid w:val="00A64218"/>
    <w:rsid w:val="00A654C2"/>
    <w:rsid w:val="00A67F91"/>
    <w:rsid w:val="00A70DD7"/>
    <w:rsid w:val="00A7429B"/>
    <w:rsid w:val="00A74335"/>
    <w:rsid w:val="00A74D43"/>
    <w:rsid w:val="00A7682A"/>
    <w:rsid w:val="00A8165C"/>
    <w:rsid w:val="00A84334"/>
    <w:rsid w:val="00A8483E"/>
    <w:rsid w:val="00A86E06"/>
    <w:rsid w:val="00A95C63"/>
    <w:rsid w:val="00AA1593"/>
    <w:rsid w:val="00AA47F7"/>
    <w:rsid w:val="00AA548C"/>
    <w:rsid w:val="00AA6171"/>
    <w:rsid w:val="00AA6C45"/>
    <w:rsid w:val="00AA72A0"/>
    <w:rsid w:val="00AB4392"/>
    <w:rsid w:val="00AB471A"/>
    <w:rsid w:val="00AB5682"/>
    <w:rsid w:val="00AC1E20"/>
    <w:rsid w:val="00AC40F5"/>
    <w:rsid w:val="00AC6988"/>
    <w:rsid w:val="00AD6FDE"/>
    <w:rsid w:val="00AE331A"/>
    <w:rsid w:val="00AE3CFF"/>
    <w:rsid w:val="00AF48E6"/>
    <w:rsid w:val="00AF50E0"/>
    <w:rsid w:val="00B00D99"/>
    <w:rsid w:val="00B013B7"/>
    <w:rsid w:val="00B04294"/>
    <w:rsid w:val="00B10E37"/>
    <w:rsid w:val="00B146C6"/>
    <w:rsid w:val="00B1787F"/>
    <w:rsid w:val="00B205F3"/>
    <w:rsid w:val="00B21847"/>
    <w:rsid w:val="00B23E52"/>
    <w:rsid w:val="00B24553"/>
    <w:rsid w:val="00B26E2C"/>
    <w:rsid w:val="00B27932"/>
    <w:rsid w:val="00B31575"/>
    <w:rsid w:val="00B34FD9"/>
    <w:rsid w:val="00B375DE"/>
    <w:rsid w:val="00B44C3F"/>
    <w:rsid w:val="00B44F79"/>
    <w:rsid w:val="00B47AB0"/>
    <w:rsid w:val="00B52F49"/>
    <w:rsid w:val="00B54183"/>
    <w:rsid w:val="00B553F0"/>
    <w:rsid w:val="00B63988"/>
    <w:rsid w:val="00B65C1A"/>
    <w:rsid w:val="00B66DC5"/>
    <w:rsid w:val="00B707D8"/>
    <w:rsid w:val="00B70AB5"/>
    <w:rsid w:val="00B77DA5"/>
    <w:rsid w:val="00B8015A"/>
    <w:rsid w:val="00B82C14"/>
    <w:rsid w:val="00B841E6"/>
    <w:rsid w:val="00B86D1C"/>
    <w:rsid w:val="00B875D7"/>
    <w:rsid w:val="00B90956"/>
    <w:rsid w:val="00B940DE"/>
    <w:rsid w:val="00B9598D"/>
    <w:rsid w:val="00BA6DAF"/>
    <w:rsid w:val="00BA7FE8"/>
    <w:rsid w:val="00BB2EC0"/>
    <w:rsid w:val="00BC04B7"/>
    <w:rsid w:val="00BD07CD"/>
    <w:rsid w:val="00BD1798"/>
    <w:rsid w:val="00BD2084"/>
    <w:rsid w:val="00BD3922"/>
    <w:rsid w:val="00BD437B"/>
    <w:rsid w:val="00BE0FED"/>
    <w:rsid w:val="00BE2C2A"/>
    <w:rsid w:val="00BF1169"/>
    <w:rsid w:val="00BF6307"/>
    <w:rsid w:val="00BF7243"/>
    <w:rsid w:val="00BF7EB9"/>
    <w:rsid w:val="00C00CA2"/>
    <w:rsid w:val="00C06586"/>
    <w:rsid w:val="00C13DD5"/>
    <w:rsid w:val="00C14D90"/>
    <w:rsid w:val="00C22E6A"/>
    <w:rsid w:val="00C24561"/>
    <w:rsid w:val="00C24A02"/>
    <w:rsid w:val="00C26C63"/>
    <w:rsid w:val="00C3243F"/>
    <w:rsid w:val="00C32E7B"/>
    <w:rsid w:val="00C35C29"/>
    <w:rsid w:val="00C36405"/>
    <w:rsid w:val="00C466CA"/>
    <w:rsid w:val="00C51BAD"/>
    <w:rsid w:val="00C524DD"/>
    <w:rsid w:val="00C538D5"/>
    <w:rsid w:val="00C5666F"/>
    <w:rsid w:val="00C601CD"/>
    <w:rsid w:val="00C60A11"/>
    <w:rsid w:val="00C616A8"/>
    <w:rsid w:val="00C65079"/>
    <w:rsid w:val="00C7021E"/>
    <w:rsid w:val="00C71224"/>
    <w:rsid w:val="00C752E2"/>
    <w:rsid w:val="00C77658"/>
    <w:rsid w:val="00C814F3"/>
    <w:rsid w:val="00C859EE"/>
    <w:rsid w:val="00C867AE"/>
    <w:rsid w:val="00C87C57"/>
    <w:rsid w:val="00C90450"/>
    <w:rsid w:val="00C91314"/>
    <w:rsid w:val="00C94AFD"/>
    <w:rsid w:val="00C95D6F"/>
    <w:rsid w:val="00C96A6F"/>
    <w:rsid w:val="00CA2D8F"/>
    <w:rsid w:val="00CB2692"/>
    <w:rsid w:val="00CB6588"/>
    <w:rsid w:val="00CB6AA9"/>
    <w:rsid w:val="00CC2804"/>
    <w:rsid w:val="00CC494D"/>
    <w:rsid w:val="00CD0241"/>
    <w:rsid w:val="00CD2528"/>
    <w:rsid w:val="00CD52A5"/>
    <w:rsid w:val="00CD5DDB"/>
    <w:rsid w:val="00CE070F"/>
    <w:rsid w:val="00CE1799"/>
    <w:rsid w:val="00CE448A"/>
    <w:rsid w:val="00CE449D"/>
    <w:rsid w:val="00CE4B33"/>
    <w:rsid w:val="00CE5479"/>
    <w:rsid w:val="00CF1EE0"/>
    <w:rsid w:val="00CF2164"/>
    <w:rsid w:val="00CF5FA8"/>
    <w:rsid w:val="00D026FF"/>
    <w:rsid w:val="00D04239"/>
    <w:rsid w:val="00D0551A"/>
    <w:rsid w:val="00D05A3D"/>
    <w:rsid w:val="00D06B40"/>
    <w:rsid w:val="00D0745D"/>
    <w:rsid w:val="00D11564"/>
    <w:rsid w:val="00D12B8C"/>
    <w:rsid w:val="00D130A5"/>
    <w:rsid w:val="00D14E9E"/>
    <w:rsid w:val="00D25795"/>
    <w:rsid w:val="00D2735A"/>
    <w:rsid w:val="00D310D5"/>
    <w:rsid w:val="00D34208"/>
    <w:rsid w:val="00D4121A"/>
    <w:rsid w:val="00D42493"/>
    <w:rsid w:val="00D43362"/>
    <w:rsid w:val="00D4397C"/>
    <w:rsid w:val="00D47C55"/>
    <w:rsid w:val="00D54570"/>
    <w:rsid w:val="00D54BC2"/>
    <w:rsid w:val="00D604D1"/>
    <w:rsid w:val="00D610EF"/>
    <w:rsid w:val="00D61804"/>
    <w:rsid w:val="00D6559B"/>
    <w:rsid w:val="00D658F4"/>
    <w:rsid w:val="00D73B3E"/>
    <w:rsid w:val="00D73D6B"/>
    <w:rsid w:val="00D74592"/>
    <w:rsid w:val="00D755A9"/>
    <w:rsid w:val="00D75E47"/>
    <w:rsid w:val="00D77B81"/>
    <w:rsid w:val="00D81D73"/>
    <w:rsid w:val="00D82F19"/>
    <w:rsid w:val="00D9079D"/>
    <w:rsid w:val="00D91148"/>
    <w:rsid w:val="00D93501"/>
    <w:rsid w:val="00D93978"/>
    <w:rsid w:val="00DA0F54"/>
    <w:rsid w:val="00DA1219"/>
    <w:rsid w:val="00DA171E"/>
    <w:rsid w:val="00DA1FD9"/>
    <w:rsid w:val="00DA2020"/>
    <w:rsid w:val="00DA329D"/>
    <w:rsid w:val="00DB4380"/>
    <w:rsid w:val="00DC0E4C"/>
    <w:rsid w:val="00DC5EE0"/>
    <w:rsid w:val="00DD095F"/>
    <w:rsid w:val="00DD6933"/>
    <w:rsid w:val="00DE24A5"/>
    <w:rsid w:val="00DE29A0"/>
    <w:rsid w:val="00DE366E"/>
    <w:rsid w:val="00DE6192"/>
    <w:rsid w:val="00DF1C55"/>
    <w:rsid w:val="00DF37E0"/>
    <w:rsid w:val="00DF51D6"/>
    <w:rsid w:val="00DF74BA"/>
    <w:rsid w:val="00E05E26"/>
    <w:rsid w:val="00E12EB9"/>
    <w:rsid w:val="00E1483B"/>
    <w:rsid w:val="00E15586"/>
    <w:rsid w:val="00E16A1C"/>
    <w:rsid w:val="00E17AE1"/>
    <w:rsid w:val="00E227B6"/>
    <w:rsid w:val="00E30F9A"/>
    <w:rsid w:val="00E36F16"/>
    <w:rsid w:val="00E4090E"/>
    <w:rsid w:val="00E423D2"/>
    <w:rsid w:val="00E45AF2"/>
    <w:rsid w:val="00E46EE4"/>
    <w:rsid w:val="00E541D8"/>
    <w:rsid w:val="00E55887"/>
    <w:rsid w:val="00E63EF4"/>
    <w:rsid w:val="00E67848"/>
    <w:rsid w:val="00E709A5"/>
    <w:rsid w:val="00E7481C"/>
    <w:rsid w:val="00E75E11"/>
    <w:rsid w:val="00E76E71"/>
    <w:rsid w:val="00E83861"/>
    <w:rsid w:val="00E95122"/>
    <w:rsid w:val="00E977AC"/>
    <w:rsid w:val="00EA2369"/>
    <w:rsid w:val="00ED0C61"/>
    <w:rsid w:val="00ED21B4"/>
    <w:rsid w:val="00ED4374"/>
    <w:rsid w:val="00ED46FA"/>
    <w:rsid w:val="00ED4997"/>
    <w:rsid w:val="00ED499A"/>
    <w:rsid w:val="00ED4D57"/>
    <w:rsid w:val="00EE4C3C"/>
    <w:rsid w:val="00EE5E94"/>
    <w:rsid w:val="00EE603B"/>
    <w:rsid w:val="00EE65D8"/>
    <w:rsid w:val="00EF309A"/>
    <w:rsid w:val="00EF5B09"/>
    <w:rsid w:val="00EF5E88"/>
    <w:rsid w:val="00EF642D"/>
    <w:rsid w:val="00F022E7"/>
    <w:rsid w:val="00F07BCE"/>
    <w:rsid w:val="00F108C3"/>
    <w:rsid w:val="00F10C57"/>
    <w:rsid w:val="00F10EC5"/>
    <w:rsid w:val="00F21B47"/>
    <w:rsid w:val="00F2413C"/>
    <w:rsid w:val="00F255E2"/>
    <w:rsid w:val="00F2566B"/>
    <w:rsid w:val="00F25CC2"/>
    <w:rsid w:val="00F3155E"/>
    <w:rsid w:val="00F36A3E"/>
    <w:rsid w:val="00F4529E"/>
    <w:rsid w:val="00F472CC"/>
    <w:rsid w:val="00F64594"/>
    <w:rsid w:val="00F66BD6"/>
    <w:rsid w:val="00F6730B"/>
    <w:rsid w:val="00F753BF"/>
    <w:rsid w:val="00F8033F"/>
    <w:rsid w:val="00F938E2"/>
    <w:rsid w:val="00FA03FD"/>
    <w:rsid w:val="00FA1910"/>
    <w:rsid w:val="00FA1CDD"/>
    <w:rsid w:val="00FA2FE6"/>
    <w:rsid w:val="00FA749A"/>
    <w:rsid w:val="00FB0EF9"/>
    <w:rsid w:val="00FB0FDB"/>
    <w:rsid w:val="00FB4B90"/>
    <w:rsid w:val="00FC2AD2"/>
    <w:rsid w:val="00FC63B6"/>
    <w:rsid w:val="00FD09F4"/>
    <w:rsid w:val="00FD2FAC"/>
    <w:rsid w:val="00FD3A41"/>
    <w:rsid w:val="00FD437D"/>
    <w:rsid w:val="00FD4D42"/>
    <w:rsid w:val="00FD58A2"/>
    <w:rsid w:val="00FE618B"/>
    <w:rsid w:val="00FF65E2"/>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72B05"/>
  <w15:docId w15:val="{0E7E5E46-3644-4E5C-979A-302B145DB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0C5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F10C57"/>
    <w:pPr>
      <w:keepNext/>
      <w:widowControl w:val="0"/>
      <w:numPr>
        <w:numId w:val="2"/>
      </w:numPr>
      <w:tabs>
        <w:tab w:val="center" w:pos="284"/>
        <w:tab w:val="right" w:pos="11921"/>
      </w:tabs>
      <w:suppressAutoHyphens/>
      <w:autoSpaceDE w:val="0"/>
      <w:jc w:val="both"/>
      <w:outlineLvl w:val="0"/>
    </w:pPr>
    <w:rPr>
      <w:b/>
      <w:bCs/>
      <w:lang w:eastAsia="ar-SA"/>
    </w:rPr>
  </w:style>
  <w:style w:type="paragraph" w:styleId="Heading2">
    <w:name w:val="heading 2"/>
    <w:basedOn w:val="Normal"/>
    <w:next w:val="Normal"/>
    <w:link w:val="Heading2Char"/>
    <w:uiPriority w:val="99"/>
    <w:qFormat/>
    <w:rsid w:val="00F10C57"/>
    <w:pPr>
      <w:keepNext/>
      <w:jc w:val="both"/>
      <w:outlineLvl w:val="1"/>
    </w:pPr>
    <w:rPr>
      <w:b/>
      <w:bCs/>
      <w:color w:val="FF0000"/>
    </w:rPr>
  </w:style>
  <w:style w:type="paragraph" w:styleId="Heading3">
    <w:name w:val="heading 3"/>
    <w:basedOn w:val="Normal"/>
    <w:next w:val="Normal"/>
    <w:link w:val="Heading3Char"/>
    <w:uiPriority w:val="99"/>
    <w:qFormat/>
    <w:rsid w:val="00F10C57"/>
    <w:pPr>
      <w:keepNext/>
      <w:outlineLvl w:val="2"/>
    </w:pPr>
    <w:rPr>
      <w:b/>
      <w:bCs/>
      <w:color w:val="FF0000"/>
    </w:rPr>
  </w:style>
  <w:style w:type="paragraph" w:styleId="Heading4">
    <w:name w:val="heading 4"/>
    <w:basedOn w:val="Normal"/>
    <w:next w:val="Normal"/>
    <w:link w:val="Heading4Char"/>
    <w:semiHidden/>
    <w:unhideWhenUsed/>
    <w:qFormat/>
    <w:rsid w:val="00F10C5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10C57"/>
    <w:rPr>
      <w:rFonts w:ascii="Times New Roman" w:eastAsia="Times New Roman" w:hAnsi="Times New Roman" w:cs="Times New Roman"/>
      <w:b/>
      <w:bCs/>
      <w:sz w:val="24"/>
      <w:szCs w:val="24"/>
      <w:lang w:eastAsia="ar-SA"/>
    </w:rPr>
  </w:style>
  <w:style w:type="character" w:customStyle="1" w:styleId="Heading2Char">
    <w:name w:val="Heading 2 Char"/>
    <w:basedOn w:val="DefaultParagraphFont"/>
    <w:link w:val="Heading2"/>
    <w:uiPriority w:val="99"/>
    <w:rsid w:val="00F10C57"/>
    <w:rPr>
      <w:rFonts w:ascii="Times New Roman" w:eastAsia="Times New Roman" w:hAnsi="Times New Roman" w:cs="Times New Roman"/>
      <w:b/>
      <w:bCs/>
      <w:color w:val="FF0000"/>
      <w:sz w:val="24"/>
      <w:szCs w:val="24"/>
    </w:rPr>
  </w:style>
  <w:style w:type="character" w:customStyle="1" w:styleId="Heading3Char">
    <w:name w:val="Heading 3 Char"/>
    <w:basedOn w:val="DefaultParagraphFont"/>
    <w:link w:val="Heading3"/>
    <w:uiPriority w:val="99"/>
    <w:rsid w:val="00F10C57"/>
    <w:rPr>
      <w:rFonts w:ascii="Times New Roman" w:eastAsia="Times New Roman" w:hAnsi="Times New Roman" w:cs="Times New Roman"/>
      <w:b/>
      <w:bCs/>
      <w:color w:val="FF0000"/>
      <w:sz w:val="24"/>
      <w:szCs w:val="24"/>
    </w:rPr>
  </w:style>
  <w:style w:type="character" w:customStyle="1" w:styleId="Heading4Char">
    <w:name w:val="Heading 4 Char"/>
    <w:basedOn w:val="DefaultParagraphFont"/>
    <w:link w:val="Heading4"/>
    <w:semiHidden/>
    <w:rsid w:val="00F10C57"/>
    <w:rPr>
      <w:rFonts w:asciiTheme="majorHAnsi" w:eastAsiaTheme="majorEastAsia" w:hAnsiTheme="majorHAnsi" w:cstheme="majorBidi"/>
      <w:b/>
      <w:bCs/>
      <w:i/>
      <w:iCs/>
      <w:color w:val="4F81BD" w:themeColor="accent1"/>
      <w:sz w:val="24"/>
      <w:szCs w:val="24"/>
    </w:rPr>
  </w:style>
  <w:style w:type="paragraph" w:styleId="BalloonText">
    <w:name w:val="Balloon Text"/>
    <w:basedOn w:val="Normal"/>
    <w:link w:val="BalloonTextChar"/>
    <w:uiPriority w:val="99"/>
    <w:rsid w:val="00F10C57"/>
    <w:rPr>
      <w:rFonts w:ascii="Tahoma" w:hAnsi="Tahoma" w:cs="Tahoma"/>
      <w:bCs/>
      <w:smallCaps/>
      <w:sz w:val="16"/>
      <w:szCs w:val="16"/>
    </w:rPr>
  </w:style>
  <w:style w:type="character" w:customStyle="1" w:styleId="BalloonTextChar">
    <w:name w:val="Balloon Text Char"/>
    <w:basedOn w:val="DefaultParagraphFont"/>
    <w:link w:val="BalloonText"/>
    <w:uiPriority w:val="99"/>
    <w:rsid w:val="00F10C57"/>
    <w:rPr>
      <w:rFonts w:ascii="Tahoma" w:eastAsia="Times New Roman" w:hAnsi="Tahoma" w:cs="Tahoma"/>
      <w:bCs/>
      <w:smallCaps/>
      <w:sz w:val="16"/>
      <w:szCs w:val="16"/>
    </w:rPr>
  </w:style>
  <w:style w:type="character" w:styleId="Hyperlink">
    <w:name w:val="Hyperlink"/>
    <w:basedOn w:val="DefaultParagraphFont"/>
    <w:uiPriority w:val="99"/>
    <w:rsid w:val="00F10C57"/>
    <w:rPr>
      <w:rFonts w:ascii="Times New Roman" w:hAnsi="Times New Roman" w:cs="Times New Roman"/>
      <w:snapToGrid w:val="0"/>
      <w:color w:val="0000FF"/>
      <w:u w:val="single"/>
    </w:rPr>
  </w:style>
  <w:style w:type="paragraph" w:styleId="BodyText">
    <w:name w:val="Body Text"/>
    <w:basedOn w:val="Normal"/>
    <w:link w:val="BodyTextChar"/>
    <w:uiPriority w:val="99"/>
    <w:rsid w:val="00F10C57"/>
    <w:pPr>
      <w:jc w:val="both"/>
    </w:pPr>
  </w:style>
  <w:style w:type="character" w:customStyle="1" w:styleId="BodyTextChar">
    <w:name w:val="Body Text Char"/>
    <w:basedOn w:val="DefaultParagraphFont"/>
    <w:link w:val="BodyText"/>
    <w:uiPriority w:val="99"/>
    <w:rsid w:val="00F10C57"/>
    <w:rPr>
      <w:rFonts w:ascii="Times New Roman" w:eastAsia="Times New Roman" w:hAnsi="Times New Roman" w:cs="Times New Roman"/>
      <w:sz w:val="24"/>
      <w:szCs w:val="24"/>
    </w:rPr>
  </w:style>
  <w:style w:type="paragraph" w:styleId="Footer">
    <w:name w:val="footer"/>
    <w:basedOn w:val="Normal"/>
    <w:link w:val="FooterChar"/>
    <w:uiPriority w:val="99"/>
    <w:rsid w:val="00F10C57"/>
    <w:pPr>
      <w:tabs>
        <w:tab w:val="center" w:pos="4153"/>
        <w:tab w:val="right" w:pos="8306"/>
      </w:tabs>
    </w:pPr>
  </w:style>
  <w:style w:type="character" w:customStyle="1" w:styleId="FooterChar">
    <w:name w:val="Footer Char"/>
    <w:basedOn w:val="DefaultParagraphFont"/>
    <w:link w:val="Footer"/>
    <w:uiPriority w:val="99"/>
    <w:rsid w:val="00F10C57"/>
    <w:rPr>
      <w:rFonts w:ascii="Times New Roman" w:eastAsia="Times New Roman" w:hAnsi="Times New Roman" w:cs="Times New Roman"/>
      <w:sz w:val="24"/>
      <w:szCs w:val="24"/>
    </w:rPr>
  </w:style>
  <w:style w:type="character" w:styleId="PageNumber">
    <w:name w:val="page number"/>
    <w:basedOn w:val="DefaultParagraphFont"/>
    <w:uiPriority w:val="99"/>
    <w:rsid w:val="00F10C57"/>
    <w:rPr>
      <w:rFonts w:ascii="Times New Roman" w:hAnsi="Times New Roman" w:cs="Times New Roman"/>
      <w:snapToGrid w:val="0"/>
    </w:rPr>
  </w:style>
  <w:style w:type="character" w:styleId="FootnoteReference">
    <w:name w:val="footnote reference"/>
    <w:basedOn w:val="DefaultParagraphFont"/>
    <w:uiPriority w:val="99"/>
    <w:rsid w:val="00F10C57"/>
    <w:rPr>
      <w:rFonts w:ascii="Times New Roman" w:hAnsi="Times New Roman" w:cs="Times New Roman"/>
      <w:snapToGrid w:val="0"/>
      <w:vertAlign w:val="superscript"/>
    </w:rPr>
  </w:style>
  <w:style w:type="paragraph" w:styleId="FootnoteText">
    <w:name w:val="footnote text"/>
    <w:basedOn w:val="Normal"/>
    <w:link w:val="FootnoteTextChar"/>
    <w:rsid w:val="00F10C57"/>
    <w:pPr>
      <w:widowControl w:val="0"/>
      <w:tabs>
        <w:tab w:val="left" w:pos="567"/>
      </w:tabs>
      <w:ind w:left="567" w:hanging="567"/>
    </w:pPr>
    <w:rPr>
      <w:lang w:eastAsia="fr-BE"/>
    </w:rPr>
  </w:style>
  <w:style w:type="character" w:customStyle="1" w:styleId="FootnoteTextChar">
    <w:name w:val="Footnote Text Char"/>
    <w:basedOn w:val="DefaultParagraphFont"/>
    <w:link w:val="FootnoteText"/>
    <w:rsid w:val="00F10C57"/>
    <w:rPr>
      <w:rFonts w:ascii="Times New Roman" w:eastAsia="Times New Roman" w:hAnsi="Times New Roman" w:cs="Times New Roman"/>
      <w:sz w:val="24"/>
      <w:szCs w:val="24"/>
      <w:lang w:eastAsia="fr-BE"/>
    </w:rPr>
  </w:style>
  <w:style w:type="paragraph" w:styleId="BodyText3">
    <w:name w:val="Body Text 3"/>
    <w:basedOn w:val="Normal"/>
    <w:link w:val="BodyText3Char"/>
    <w:uiPriority w:val="99"/>
    <w:rsid w:val="00F10C57"/>
    <w:pPr>
      <w:autoSpaceDE w:val="0"/>
      <w:autoSpaceDN w:val="0"/>
      <w:adjustRightInd w:val="0"/>
      <w:jc w:val="both"/>
    </w:pPr>
    <w:rPr>
      <w:i/>
      <w:iCs/>
      <w:color w:val="FF0000"/>
    </w:rPr>
  </w:style>
  <w:style w:type="character" w:customStyle="1" w:styleId="BodyText3Char">
    <w:name w:val="Body Text 3 Char"/>
    <w:basedOn w:val="DefaultParagraphFont"/>
    <w:link w:val="BodyText3"/>
    <w:uiPriority w:val="99"/>
    <w:rsid w:val="00F10C57"/>
    <w:rPr>
      <w:rFonts w:ascii="Times New Roman" w:eastAsia="Times New Roman" w:hAnsi="Times New Roman" w:cs="Times New Roman"/>
      <w:i/>
      <w:iCs/>
      <w:color w:val="FF0000"/>
      <w:sz w:val="24"/>
      <w:szCs w:val="24"/>
    </w:rPr>
  </w:style>
  <w:style w:type="paragraph" w:customStyle="1" w:styleId="EntRefer">
    <w:name w:val="EntRefer"/>
    <w:basedOn w:val="Normal"/>
    <w:uiPriority w:val="99"/>
    <w:rsid w:val="00F10C57"/>
    <w:pPr>
      <w:widowControl w:val="0"/>
    </w:pPr>
    <w:rPr>
      <w:b/>
      <w:bCs/>
      <w:lang w:eastAsia="fr-BE"/>
    </w:rPr>
  </w:style>
  <w:style w:type="paragraph" w:customStyle="1" w:styleId="Point0">
    <w:name w:val="Point 0"/>
    <w:basedOn w:val="Normal"/>
    <w:uiPriority w:val="99"/>
    <w:rsid w:val="00F10C57"/>
    <w:pPr>
      <w:spacing w:before="120" w:after="120"/>
      <w:ind w:left="851" w:hanging="851"/>
      <w:jc w:val="both"/>
    </w:pPr>
    <w:rPr>
      <w:lang w:val="en-GB" w:eastAsia="fr-BE"/>
    </w:rPr>
  </w:style>
  <w:style w:type="paragraph" w:styleId="BodyText2">
    <w:name w:val="Body Text 2"/>
    <w:basedOn w:val="Normal"/>
    <w:link w:val="BodyText2Char"/>
    <w:uiPriority w:val="99"/>
    <w:rsid w:val="00F10C57"/>
    <w:pPr>
      <w:jc w:val="both"/>
    </w:pPr>
    <w:rPr>
      <w:lang w:val="fi-FI"/>
    </w:rPr>
  </w:style>
  <w:style w:type="character" w:customStyle="1" w:styleId="BodyText2Char">
    <w:name w:val="Body Text 2 Char"/>
    <w:basedOn w:val="DefaultParagraphFont"/>
    <w:link w:val="BodyText2"/>
    <w:uiPriority w:val="99"/>
    <w:rsid w:val="00F10C57"/>
    <w:rPr>
      <w:rFonts w:ascii="Times New Roman" w:eastAsia="Times New Roman" w:hAnsi="Times New Roman" w:cs="Times New Roman"/>
      <w:sz w:val="24"/>
      <w:szCs w:val="24"/>
      <w:lang w:val="fi-FI"/>
    </w:rPr>
  </w:style>
  <w:style w:type="paragraph" w:customStyle="1" w:styleId="WW-BodyText2">
    <w:name w:val="WW-Body Text 2"/>
    <w:basedOn w:val="Normal"/>
    <w:rsid w:val="00F10C57"/>
    <w:pPr>
      <w:tabs>
        <w:tab w:val="left" w:pos="720"/>
      </w:tabs>
      <w:suppressAutoHyphens/>
      <w:autoSpaceDE w:val="0"/>
      <w:spacing w:before="120"/>
      <w:jc w:val="both"/>
    </w:pPr>
    <w:rPr>
      <w:lang w:eastAsia="ar-SA"/>
    </w:rPr>
  </w:style>
  <w:style w:type="paragraph" w:styleId="Title">
    <w:name w:val="Title"/>
    <w:basedOn w:val="Normal"/>
    <w:link w:val="TitleChar"/>
    <w:uiPriority w:val="99"/>
    <w:qFormat/>
    <w:rsid w:val="00F10C57"/>
    <w:pPr>
      <w:jc w:val="center"/>
    </w:pPr>
    <w:rPr>
      <w:b/>
      <w:bCs/>
    </w:rPr>
  </w:style>
  <w:style w:type="character" w:customStyle="1" w:styleId="TitleChar">
    <w:name w:val="Title Char"/>
    <w:basedOn w:val="DefaultParagraphFont"/>
    <w:link w:val="Title"/>
    <w:uiPriority w:val="99"/>
    <w:rsid w:val="00F10C57"/>
    <w:rPr>
      <w:rFonts w:ascii="Times New Roman" w:eastAsia="Times New Roman" w:hAnsi="Times New Roman" w:cs="Times New Roman"/>
      <w:b/>
      <w:bCs/>
      <w:sz w:val="24"/>
      <w:szCs w:val="24"/>
    </w:rPr>
  </w:style>
  <w:style w:type="character" w:customStyle="1" w:styleId="WW8Num2z0">
    <w:name w:val="WW8Num2z0"/>
    <w:uiPriority w:val="99"/>
    <w:rsid w:val="00F10C57"/>
    <w:rPr>
      <w:rFonts w:ascii="Times New Roman" w:hAnsi="Times New Roman"/>
      <w:snapToGrid w:val="0"/>
    </w:rPr>
  </w:style>
  <w:style w:type="paragraph" w:styleId="Header">
    <w:name w:val="header"/>
    <w:basedOn w:val="Normal"/>
    <w:link w:val="HeaderChar"/>
    <w:uiPriority w:val="99"/>
    <w:rsid w:val="00F10C57"/>
    <w:pPr>
      <w:tabs>
        <w:tab w:val="center" w:pos="4153"/>
        <w:tab w:val="right" w:pos="8306"/>
      </w:tabs>
    </w:pPr>
  </w:style>
  <w:style w:type="character" w:customStyle="1" w:styleId="HeaderChar">
    <w:name w:val="Header Char"/>
    <w:basedOn w:val="DefaultParagraphFont"/>
    <w:link w:val="Header"/>
    <w:uiPriority w:val="99"/>
    <w:rsid w:val="00F10C57"/>
    <w:rPr>
      <w:rFonts w:ascii="Times New Roman" w:eastAsia="Times New Roman" w:hAnsi="Times New Roman" w:cs="Times New Roman"/>
      <w:sz w:val="24"/>
      <w:szCs w:val="24"/>
    </w:rPr>
  </w:style>
  <w:style w:type="character" w:styleId="FollowedHyperlink">
    <w:name w:val="FollowedHyperlink"/>
    <w:basedOn w:val="DefaultParagraphFont"/>
    <w:uiPriority w:val="99"/>
    <w:rsid w:val="00F10C57"/>
    <w:rPr>
      <w:rFonts w:ascii="Times New Roman" w:hAnsi="Times New Roman" w:cs="Times New Roman"/>
      <w:snapToGrid w:val="0"/>
      <w:color w:val="800080"/>
      <w:u w:val="single"/>
    </w:rPr>
  </w:style>
  <w:style w:type="paragraph" w:customStyle="1" w:styleId="ww-bodytext20">
    <w:name w:val="ww-bodytext20"/>
    <w:basedOn w:val="Normal"/>
    <w:uiPriority w:val="99"/>
    <w:rsid w:val="00F10C57"/>
    <w:pPr>
      <w:autoSpaceDE w:val="0"/>
      <w:spacing w:before="120"/>
      <w:jc w:val="both"/>
    </w:pPr>
    <w:rPr>
      <w:lang w:val="en-GB"/>
    </w:rPr>
  </w:style>
  <w:style w:type="paragraph" w:customStyle="1" w:styleId="Default">
    <w:name w:val="Default"/>
    <w:rsid w:val="00F10C57"/>
    <w:pPr>
      <w:widowControl w:val="0"/>
      <w:autoSpaceDE w:val="0"/>
      <w:autoSpaceDN w:val="0"/>
      <w:adjustRightInd w:val="0"/>
      <w:spacing w:after="0" w:line="240" w:lineRule="auto"/>
    </w:pPr>
    <w:rPr>
      <w:rFonts w:ascii="Times New Roman" w:eastAsia="Times New Roman" w:hAnsi="Times New Roman" w:cs="Times New Roman"/>
      <w:sz w:val="20"/>
      <w:szCs w:val="20"/>
      <w:lang w:val="en-AU" w:eastAsia="et-EE"/>
    </w:rPr>
  </w:style>
  <w:style w:type="paragraph" w:styleId="List">
    <w:name w:val="List"/>
    <w:basedOn w:val="Normal"/>
    <w:uiPriority w:val="99"/>
    <w:rsid w:val="00F10C57"/>
    <w:pPr>
      <w:widowControl w:val="0"/>
      <w:autoSpaceDE w:val="0"/>
      <w:autoSpaceDN w:val="0"/>
      <w:adjustRightInd w:val="0"/>
    </w:pPr>
    <w:rPr>
      <w:lang w:val="de-DE"/>
    </w:rPr>
  </w:style>
  <w:style w:type="paragraph" w:customStyle="1" w:styleId="TxBrp2">
    <w:name w:val="TxBr_p2"/>
    <w:basedOn w:val="Default"/>
    <w:rsid w:val="00F10C57"/>
    <w:pPr>
      <w:spacing w:line="396" w:lineRule="atLeast"/>
      <w:jc w:val="both"/>
    </w:pPr>
    <w:rPr>
      <w:rFonts w:ascii="Tahoma" w:cs="Tahoma"/>
      <w:sz w:val="24"/>
      <w:szCs w:val="24"/>
      <w:lang w:val="en-US"/>
    </w:rPr>
  </w:style>
  <w:style w:type="character" w:styleId="CommentReference">
    <w:name w:val="annotation reference"/>
    <w:basedOn w:val="DefaultParagraphFont"/>
    <w:uiPriority w:val="99"/>
    <w:rsid w:val="00F10C57"/>
    <w:rPr>
      <w:rFonts w:ascii="Times New Roman" w:hAnsi="Times New Roman" w:cs="Times New Roman"/>
      <w:snapToGrid w:val="0"/>
      <w:sz w:val="16"/>
      <w:szCs w:val="16"/>
    </w:rPr>
  </w:style>
  <w:style w:type="paragraph" w:styleId="CommentText">
    <w:name w:val="annotation text"/>
    <w:basedOn w:val="Normal"/>
    <w:link w:val="CommentTextChar"/>
    <w:uiPriority w:val="99"/>
    <w:rsid w:val="00F10C57"/>
    <w:rPr>
      <w:sz w:val="20"/>
      <w:szCs w:val="20"/>
    </w:rPr>
  </w:style>
  <w:style w:type="character" w:customStyle="1" w:styleId="CommentTextChar">
    <w:name w:val="Comment Text Char"/>
    <w:basedOn w:val="DefaultParagraphFont"/>
    <w:link w:val="CommentText"/>
    <w:uiPriority w:val="99"/>
    <w:rsid w:val="00F10C57"/>
    <w:rPr>
      <w:rFonts w:ascii="Times New Roman" w:eastAsia="Times New Roman" w:hAnsi="Times New Roman" w:cs="Times New Roman"/>
      <w:sz w:val="20"/>
      <w:szCs w:val="20"/>
    </w:rPr>
  </w:style>
  <w:style w:type="paragraph" w:styleId="NormalWeb">
    <w:name w:val="Normal (Web)"/>
    <w:basedOn w:val="Normal"/>
    <w:uiPriority w:val="99"/>
    <w:rsid w:val="00F10C57"/>
    <w:pPr>
      <w:spacing w:before="100" w:beforeAutospacing="1" w:after="100" w:afterAutospacing="1"/>
    </w:pPr>
    <w:rPr>
      <w:color w:val="000000"/>
      <w:lang w:eastAsia="et-EE"/>
    </w:rPr>
  </w:style>
  <w:style w:type="paragraph" w:styleId="CommentSubject">
    <w:name w:val="annotation subject"/>
    <w:basedOn w:val="CommentText"/>
    <w:next w:val="CommentText"/>
    <w:link w:val="CommentSubjectChar"/>
    <w:uiPriority w:val="99"/>
    <w:rsid w:val="00F10C57"/>
    <w:rPr>
      <w:b/>
      <w:bCs/>
    </w:rPr>
  </w:style>
  <w:style w:type="character" w:customStyle="1" w:styleId="CommentSubjectChar">
    <w:name w:val="Comment Subject Char"/>
    <w:basedOn w:val="CommentTextChar"/>
    <w:link w:val="CommentSubject"/>
    <w:uiPriority w:val="99"/>
    <w:rsid w:val="00F10C57"/>
    <w:rPr>
      <w:rFonts w:ascii="Times New Roman" w:eastAsia="Times New Roman" w:hAnsi="Times New Roman" w:cs="Times New Roman"/>
      <w:b/>
      <w:bCs/>
      <w:sz w:val="20"/>
      <w:szCs w:val="20"/>
    </w:rPr>
  </w:style>
  <w:style w:type="character" w:styleId="Strong">
    <w:name w:val="Strong"/>
    <w:basedOn w:val="DefaultParagraphFont"/>
    <w:uiPriority w:val="22"/>
    <w:qFormat/>
    <w:rsid w:val="00F10C57"/>
    <w:rPr>
      <w:rFonts w:cs="Times New Roman"/>
      <w:b/>
      <w:bCs/>
    </w:rPr>
  </w:style>
  <w:style w:type="character" w:styleId="Emphasis">
    <w:name w:val="Emphasis"/>
    <w:basedOn w:val="DefaultParagraphFont"/>
    <w:uiPriority w:val="20"/>
    <w:qFormat/>
    <w:rsid w:val="00F10C57"/>
    <w:rPr>
      <w:rFonts w:cs="Times New Roman"/>
      <w:i/>
      <w:iCs/>
    </w:rPr>
  </w:style>
  <w:style w:type="paragraph" w:customStyle="1" w:styleId="msolistparagraph0">
    <w:name w:val="msolistparagraph"/>
    <w:basedOn w:val="Normal"/>
    <w:uiPriority w:val="99"/>
    <w:rsid w:val="00F10C57"/>
    <w:pPr>
      <w:ind w:left="720"/>
    </w:pPr>
    <w:rPr>
      <w:lang w:eastAsia="et-EE"/>
    </w:rPr>
  </w:style>
  <w:style w:type="character" w:customStyle="1" w:styleId="tekst4">
    <w:name w:val="tekst4"/>
    <w:basedOn w:val="DefaultParagraphFont"/>
    <w:uiPriority w:val="99"/>
    <w:rsid w:val="00F10C57"/>
    <w:rPr>
      <w:rFonts w:cs="Times New Roman"/>
    </w:rPr>
  </w:style>
  <w:style w:type="paragraph" w:customStyle="1" w:styleId="kehatekst">
    <w:name w:val="kehatekst"/>
    <w:basedOn w:val="BodyText"/>
    <w:uiPriority w:val="99"/>
    <w:rsid w:val="00F10C57"/>
    <w:pPr>
      <w:spacing w:after="90"/>
      <w:jc w:val="left"/>
    </w:pPr>
    <w:rPr>
      <w:spacing w:val="-5"/>
    </w:rPr>
  </w:style>
  <w:style w:type="paragraph" w:styleId="BodyTextIndent">
    <w:name w:val="Body Text Indent"/>
    <w:basedOn w:val="Normal"/>
    <w:link w:val="BodyTextIndentChar"/>
    <w:uiPriority w:val="99"/>
    <w:rsid w:val="00F10C57"/>
    <w:pPr>
      <w:spacing w:after="120"/>
      <w:ind w:left="283"/>
    </w:pPr>
  </w:style>
  <w:style w:type="character" w:customStyle="1" w:styleId="BodyTextIndentChar">
    <w:name w:val="Body Text Indent Char"/>
    <w:basedOn w:val="DefaultParagraphFont"/>
    <w:link w:val="BodyTextIndent"/>
    <w:uiPriority w:val="99"/>
    <w:rsid w:val="00F10C57"/>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rsid w:val="00F10C57"/>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F10C57"/>
    <w:rPr>
      <w:rFonts w:ascii="Tahoma" w:eastAsia="Times New Roman" w:hAnsi="Tahoma" w:cs="Tahoma"/>
      <w:sz w:val="20"/>
      <w:szCs w:val="20"/>
      <w:shd w:val="clear" w:color="auto" w:fill="000080"/>
    </w:rPr>
  </w:style>
  <w:style w:type="paragraph" w:styleId="BodyTextIndent3">
    <w:name w:val="Body Text Indent 3"/>
    <w:basedOn w:val="Normal"/>
    <w:link w:val="BodyTextIndent3Char"/>
    <w:uiPriority w:val="99"/>
    <w:unhideWhenUsed/>
    <w:rsid w:val="00F10C57"/>
    <w:pPr>
      <w:spacing w:after="120"/>
      <w:ind w:left="283"/>
    </w:pPr>
    <w:rPr>
      <w:sz w:val="16"/>
      <w:szCs w:val="16"/>
    </w:rPr>
  </w:style>
  <w:style w:type="character" w:customStyle="1" w:styleId="BodyTextIndent3Char">
    <w:name w:val="Body Text Indent 3 Char"/>
    <w:basedOn w:val="DefaultParagraphFont"/>
    <w:link w:val="BodyTextIndent3"/>
    <w:uiPriority w:val="99"/>
    <w:rsid w:val="00F10C57"/>
    <w:rPr>
      <w:rFonts w:ascii="Times New Roman" w:eastAsia="Times New Roman" w:hAnsi="Times New Roman" w:cs="Times New Roman"/>
      <w:sz w:val="16"/>
      <w:szCs w:val="16"/>
    </w:rPr>
  </w:style>
  <w:style w:type="paragraph" w:styleId="ListParagraph">
    <w:name w:val="List Paragraph"/>
    <w:basedOn w:val="Normal"/>
    <w:uiPriority w:val="34"/>
    <w:qFormat/>
    <w:rsid w:val="00F10C57"/>
    <w:pPr>
      <w:spacing w:after="200" w:line="276" w:lineRule="auto"/>
      <w:ind w:left="720"/>
      <w:contextualSpacing/>
    </w:pPr>
    <w:rPr>
      <w:rFonts w:ascii="Calibri" w:hAnsi="Calibri"/>
      <w:sz w:val="22"/>
      <w:szCs w:val="22"/>
    </w:rPr>
  </w:style>
  <w:style w:type="paragraph" w:styleId="NoSpacing">
    <w:name w:val="No Spacing"/>
    <w:uiPriority w:val="1"/>
    <w:qFormat/>
    <w:rsid w:val="00F10C57"/>
    <w:pPr>
      <w:spacing w:after="0" w:line="240" w:lineRule="auto"/>
    </w:pPr>
    <w:rPr>
      <w:rFonts w:ascii="Calibri" w:eastAsia="Times New Roman" w:hAnsi="Calibri" w:cs="Times New Roman"/>
    </w:rPr>
  </w:style>
  <w:style w:type="paragraph" w:customStyle="1" w:styleId="Titrearticle">
    <w:name w:val="Titre article"/>
    <w:basedOn w:val="Normal"/>
    <w:next w:val="Normal"/>
    <w:rsid w:val="00F10C57"/>
    <w:pPr>
      <w:keepNext/>
      <w:spacing w:before="360" w:after="120"/>
      <w:jc w:val="center"/>
    </w:pPr>
    <w:rPr>
      <w:i/>
      <w:lang w:val="en-GB"/>
    </w:rPr>
  </w:style>
  <w:style w:type="paragraph" w:customStyle="1" w:styleId="Text1">
    <w:name w:val="Text 1"/>
    <w:basedOn w:val="Normal"/>
    <w:rsid w:val="00F10C57"/>
    <w:pPr>
      <w:spacing w:before="120" w:after="120"/>
      <w:ind w:left="850"/>
      <w:jc w:val="both"/>
    </w:pPr>
  </w:style>
  <w:style w:type="paragraph" w:customStyle="1" w:styleId="Considrant">
    <w:name w:val="Considérant"/>
    <w:basedOn w:val="Normal"/>
    <w:rsid w:val="00F10C57"/>
    <w:pPr>
      <w:numPr>
        <w:numId w:val="3"/>
      </w:numPr>
      <w:spacing w:before="120" w:after="120"/>
      <w:jc w:val="both"/>
    </w:pPr>
  </w:style>
  <w:style w:type="paragraph" w:customStyle="1" w:styleId="ManualNumPar1">
    <w:name w:val="Manual NumPar 1"/>
    <w:basedOn w:val="Normal"/>
    <w:next w:val="Normal"/>
    <w:rsid w:val="00F10C57"/>
    <w:pPr>
      <w:spacing w:before="120" w:after="120"/>
      <w:ind w:left="850" w:hanging="850"/>
      <w:jc w:val="both"/>
    </w:pPr>
  </w:style>
  <w:style w:type="paragraph" w:customStyle="1" w:styleId="PointDouble0">
    <w:name w:val="PointDouble 0"/>
    <w:basedOn w:val="Normal"/>
    <w:rsid w:val="00F10C57"/>
    <w:pPr>
      <w:tabs>
        <w:tab w:val="left" w:pos="850"/>
      </w:tabs>
      <w:spacing w:before="120" w:after="120"/>
      <w:ind w:left="1417" w:hanging="1417"/>
      <w:jc w:val="both"/>
    </w:pPr>
  </w:style>
  <w:style w:type="paragraph" w:customStyle="1" w:styleId="Standard">
    <w:name w:val="Standard"/>
    <w:rsid w:val="00F10C57"/>
    <w:pPr>
      <w:suppressAutoHyphens/>
      <w:spacing w:after="0" w:line="240" w:lineRule="auto"/>
      <w:textAlignment w:val="baseline"/>
    </w:pPr>
    <w:rPr>
      <w:rFonts w:ascii="Arial" w:eastAsia="Times New Roman" w:hAnsi="Arial" w:cs="Arial"/>
      <w:color w:val="000000"/>
      <w:kern w:val="1"/>
      <w:sz w:val="24"/>
      <w:szCs w:val="24"/>
      <w:lang w:val="en-GB" w:eastAsia="ar-SA"/>
    </w:rPr>
  </w:style>
  <w:style w:type="paragraph" w:customStyle="1" w:styleId="Point0number">
    <w:name w:val="Point 0 (number)"/>
    <w:basedOn w:val="Normal"/>
    <w:rsid w:val="00F10C57"/>
    <w:pPr>
      <w:numPr>
        <w:numId w:val="4"/>
      </w:numPr>
      <w:spacing w:before="120" w:after="120"/>
      <w:jc w:val="both"/>
    </w:pPr>
  </w:style>
  <w:style w:type="paragraph" w:customStyle="1" w:styleId="Point1number">
    <w:name w:val="Point 1 (number)"/>
    <w:basedOn w:val="Normal"/>
    <w:rsid w:val="00F10C57"/>
    <w:pPr>
      <w:numPr>
        <w:ilvl w:val="2"/>
        <w:numId w:val="4"/>
      </w:numPr>
      <w:spacing w:before="120" w:after="120"/>
      <w:jc w:val="both"/>
    </w:pPr>
  </w:style>
  <w:style w:type="paragraph" w:customStyle="1" w:styleId="Point2number">
    <w:name w:val="Point 2 (number)"/>
    <w:basedOn w:val="Normal"/>
    <w:rsid w:val="00F10C57"/>
    <w:pPr>
      <w:numPr>
        <w:ilvl w:val="4"/>
        <w:numId w:val="4"/>
      </w:numPr>
      <w:spacing w:before="120" w:after="120"/>
      <w:jc w:val="both"/>
    </w:pPr>
  </w:style>
  <w:style w:type="paragraph" w:customStyle="1" w:styleId="Point3number">
    <w:name w:val="Point 3 (number)"/>
    <w:basedOn w:val="Normal"/>
    <w:rsid w:val="00F10C57"/>
    <w:pPr>
      <w:numPr>
        <w:ilvl w:val="6"/>
        <w:numId w:val="4"/>
      </w:numPr>
      <w:spacing w:before="120" w:after="120"/>
      <w:jc w:val="both"/>
    </w:pPr>
  </w:style>
  <w:style w:type="paragraph" w:customStyle="1" w:styleId="Point0letter">
    <w:name w:val="Point 0 (letter)"/>
    <w:basedOn w:val="Normal"/>
    <w:rsid w:val="00F10C57"/>
    <w:pPr>
      <w:numPr>
        <w:ilvl w:val="1"/>
        <w:numId w:val="4"/>
      </w:numPr>
      <w:spacing w:before="120" w:after="120"/>
      <w:jc w:val="both"/>
    </w:pPr>
  </w:style>
  <w:style w:type="paragraph" w:customStyle="1" w:styleId="Point1letter">
    <w:name w:val="Point 1 (letter)"/>
    <w:basedOn w:val="Normal"/>
    <w:rsid w:val="00F10C57"/>
    <w:pPr>
      <w:numPr>
        <w:ilvl w:val="3"/>
        <w:numId w:val="4"/>
      </w:numPr>
      <w:spacing w:before="120" w:after="120"/>
      <w:jc w:val="both"/>
    </w:pPr>
  </w:style>
  <w:style w:type="paragraph" w:customStyle="1" w:styleId="Point2letter">
    <w:name w:val="Point 2 (letter)"/>
    <w:basedOn w:val="Normal"/>
    <w:rsid w:val="00F10C57"/>
    <w:pPr>
      <w:numPr>
        <w:ilvl w:val="5"/>
        <w:numId w:val="4"/>
      </w:numPr>
      <w:spacing w:before="120" w:after="120"/>
      <w:jc w:val="both"/>
    </w:pPr>
  </w:style>
  <w:style w:type="paragraph" w:customStyle="1" w:styleId="Point3letter">
    <w:name w:val="Point 3 (letter)"/>
    <w:basedOn w:val="Normal"/>
    <w:rsid w:val="00F10C57"/>
    <w:pPr>
      <w:numPr>
        <w:ilvl w:val="7"/>
        <w:numId w:val="4"/>
      </w:numPr>
      <w:spacing w:before="120" w:after="120"/>
      <w:jc w:val="both"/>
    </w:pPr>
  </w:style>
  <w:style w:type="paragraph" w:customStyle="1" w:styleId="Point4letter">
    <w:name w:val="Point 4 (letter)"/>
    <w:basedOn w:val="Normal"/>
    <w:rsid w:val="00F10C57"/>
    <w:pPr>
      <w:numPr>
        <w:ilvl w:val="8"/>
        <w:numId w:val="4"/>
      </w:numPr>
      <w:spacing w:before="120" w:after="120"/>
      <w:jc w:val="both"/>
    </w:pPr>
  </w:style>
  <w:style w:type="character" w:customStyle="1" w:styleId="tyhik">
    <w:name w:val="tyhik"/>
    <w:basedOn w:val="DefaultParagraphFont"/>
    <w:rsid w:val="00F10C57"/>
    <w:rPr>
      <w:rFonts w:cs="Times New Roman"/>
    </w:rPr>
  </w:style>
  <w:style w:type="paragraph" w:customStyle="1" w:styleId="Section">
    <w:name w:val="Section"/>
    <w:basedOn w:val="Normal"/>
    <w:qFormat/>
    <w:rsid w:val="00F10C57"/>
    <w:pPr>
      <w:numPr>
        <w:numId w:val="5"/>
      </w:numPr>
      <w:jc w:val="both"/>
    </w:pPr>
    <w:rPr>
      <w:rFonts w:ascii="Calibri" w:eastAsia="MS Mincho" w:hAnsi="Calibri" w:cs="Arial"/>
      <w:color w:val="000000"/>
      <w:lang w:eastAsia="ja-JP"/>
    </w:rPr>
  </w:style>
  <w:style w:type="paragraph" w:customStyle="1" w:styleId="CM12">
    <w:name w:val="CM1+2"/>
    <w:basedOn w:val="Default"/>
    <w:next w:val="Default"/>
    <w:uiPriority w:val="99"/>
    <w:rsid w:val="00F10C57"/>
    <w:pPr>
      <w:widowControl/>
    </w:pPr>
    <w:rPr>
      <w:rFonts w:ascii="EUAlbertina" w:hAnsi="EUAlbertina"/>
      <w:sz w:val="24"/>
      <w:szCs w:val="24"/>
      <w:lang w:val="et-EE"/>
    </w:rPr>
  </w:style>
  <w:style w:type="paragraph" w:customStyle="1" w:styleId="CM32">
    <w:name w:val="CM3+2"/>
    <w:basedOn w:val="Default"/>
    <w:next w:val="Default"/>
    <w:uiPriority w:val="99"/>
    <w:rsid w:val="00F10C57"/>
    <w:pPr>
      <w:widowControl/>
    </w:pPr>
    <w:rPr>
      <w:rFonts w:ascii="EUAlbertina" w:hAnsi="EUAlbertina"/>
      <w:sz w:val="24"/>
      <w:szCs w:val="24"/>
      <w:lang w:val="et-EE"/>
    </w:rPr>
  </w:style>
  <w:style w:type="paragraph" w:styleId="ListBullet5">
    <w:name w:val="List Bullet 5"/>
    <w:basedOn w:val="Normal"/>
    <w:autoRedefine/>
    <w:uiPriority w:val="99"/>
    <w:rsid w:val="00F10C57"/>
    <w:pPr>
      <w:numPr>
        <w:numId w:val="1"/>
      </w:numPr>
      <w:tabs>
        <w:tab w:val="num" w:pos="709"/>
      </w:tabs>
      <w:spacing w:after="240"/>
      <w:jc w:val="both"/>
    </w:pPr>
    <w:rPr>
      <w:szCs w:val="20"/>
      <w:lang w:val="en-GB"/>
    </w:rPr>
  </w:style>
  <w:style w:type="paragraph" w:styleId="TOCHeading">
    <w:name w:val="TOC Heading"/>
    <w:basedOn w:val="Normal"/>
    <w:next w:val="Normal"/>
    <w:uiPriority w:val="39"/>
    <w:qFormat/>
    <w:rsid w:val="00F10C57"/>
    <w:pPr>
      <w:keepNext/>
      <w:spacing w:before="240" w:after="240"/>
      <w:jc w:val="center"/>
    </w:pPr>
    <w:rPr>
      <w:b/>
      <w:szCs w:val="20"/>
      <w:lang w:val="en-GB"/>
    </w:rPr>
  </w:style>
  <w:style w:type="paragraph" w:customStyle="1" w:styleId="BodyTextTekstGaramond12">
    <w:name w:val="Body Text: Tekst Garamond 12"/>
    <w:basedOn w:val="Normal"/>
    <w:uiPriority w:val="99"/>
    <w:rsid w:val="00F10C57"/>
    <w:pPr>
      <w:suppressAutoHyphens/>
      <w:jc w:val="both"/>
    </w:pPr>
    <w:rPr>
      <w:rFonts w:ascii="Garamond" w:hAnsi="Garamond" w:cs="Garamond"/>
      <w:lang w:eastAsia="ar-SA"/>
    </w:rPr>
  </w:style>
  <w:style w:type="paragraph" w:customStyle="1" w:styleId="PK3">
    <w:name w:val="PK 3"/>
    <w:basedOn w:val="Heading4"/>
    <w:qFormat/>
    <w:rsid w:val="00F10C57"/>
    <w:pPr>
      <w:numPr>
        <w:ilvl w:val="2"/>
        <w:numId w:val="7"/>
      </w:numPr>
      <w:tabs>
        <w:tab w:val="num" w:pos="1492"/>
      </w:tabs>
      <w:spacing w:after="240"/>
      <w:ind w:left="1492" w:hanging="360"/>
      <w:jc w:val="both"/>
    </w:pPr>
    <w:rPr>
      <w:rFonts w:ascii="Georgia" w:eastAsia="Calibri" w:hAnsi="Georgia" w:cs="Times New Roman"/>
      <w:b w:val="0"/>
      <w:bCs w:val="0"/>
      <w:i w:val="0"/>
      <w:iCs w:val="0"/>
      <w:noProof/>
      <w:color w:val="1C9AD7"/>
      <w:szCs w:val="20"/>
      <w:lang w:val="x-none" w:eastAsia="x-none"/>
    </w:rPr>
  </w:style>
  <w:style w:type="paragraph" w:customStyle="1" w:styleId="PK4">
    <w:name w:val="PK 4"/>
    <w:basedOn w:val="ListParagraph"/>
    <w:qFormat/>
    <w:rsid w:val="00F10C57"/>
    <w:pPr>
      <w:numPr>
        <w:ilvl w:val="3"/>
        <w:numId w:val="7"/>
      </w:numPr>
    </w:pPr>
    <w:rPr>
      <w:rFonts w:ascii="Cambria" w:eastAsia="Calibri" w:hAnsi="Cambria"/>
      <w:bCs/>
      <w:i/>
      <w:iCs/>
      <w:lang w:val="x-none"/>
    </w:rPr>
  </w:style>
  <w:style w:type="paragraph" w:customStyle="1" w:styleId="PK1">
    <w:name w:val="PK1"/>
    <w:basedOn w:val="Heading2"/>
    <w:qFormat/>
    <w:rsid w:val="00F10C57"/>
    <w:pPr>
      <w:keepLines/>
      <w:numPr>
        <w:numId w:val="7"/>
      </w:numPr>
      <w:spacing w:before="200" w:after="240"/>
    </w:pPr>
    <w:rPr>
      <w:rFonts w:ascii="Georgia" w:eastAsia="Calibri" w:hAnsi="Georgia"/>
      <w:b w:val="0"/>
      <w:bCs w:val="0"/>
      <w:noProof/>
      <w:color w:val="1C9AD7"/>
      <w:sz w:val="26"/>
      <w:szCs w:val="26"/>
      <w:lang w:val="x-none" w:eastAsia="x-none"/>
    </w:rPr>
  </w:style>
  <w:style w:type="paragraph" w:customStyle="1" w:styleId="PK2ige">
    <w:name w:val="PK2 õige"/>
    <w:basedOn w:val="Heading3"/>
    <w:qFormat/>
    <w:rsid w:val="00F10C57"/>
    <w:pPr>
      <w:keepLines/>
      <w:numPr>
        <w:ilvl w:val="1"/>
        <w:numId w:val="7"/>
      </w:numPr>
      <w:spacing w:before="200" w:after="240"/>
      <w:jc w:val="both"/>
    </w:pPr>
    <w:rPr>
      <w:rFonts w:ascii="Georgia" w:eastAsia="Calibri" w:hAnsi="Georgia"/>
      <w:b w:val="0"/>
      <w:bCs w:val="0"/>
      <w:noProof/>
      <w:color w:val="1C9AD7"/>
      <w:sz w:val="28"/>
      <w:szCs w:val="20"/>
      <w:lang w:val="x-none" w:eastAsia="x-none"/>
    </w:rPr>
  </w:style>
  <w:style w:type="character" w:customStyle="1" w:styleId="FootnoteCharacters">
    <w:name w:val="Footnote Characters"/>
    <w:rsid w:val="00F10C57"/>
    <w:rPr>
      <w:vertAlign w:val="superscript"/>
    </w:rPr>
  </w:style>
  <w:style w:type="character" w:customStyle="1" w:styleId="Allmrkuseviide2">
    <w:name w:val="Allmärkuse viide2"/>
    <w:rsid w:val="00F10C57"/>
    <w:rPr>
      <w:vertAlign w:val="superscript"/>
    </w:rPr>
  </w:style>
  <w:style w:type="table" w:styleId="TableGrid">
    <w:name w:val="Table Grid"/>
    <w:basedOn w:val="TableNormal"/>
    <w:rsid w:val="00F10C57"/>
    <w:pPr>
      <w:spacing w:after="0" w:line="240" w:lineRule="auto"/>
    </w:pPr>
    <w:rPr>
      <w:rFonts w:ascii="Times New Roman" w:eastAsia="Times New Roman" w:hAnsi="Times New Roman" w:cs="Times New Roman"/>
      <w:sz w:val="20"/>
      <w:szCs w:val="20"/>
      <w:lang w:eastAsia="et-E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basedOn w:val="Text1"/>
    <w:link w:val="TableChar"/>
    <w:qFormat/>
    <w:rsid w:val="00F10C57"/>
    <w:pPr>
      <w:spacing w:before="0" w:after="0"/>
      <w:ind w:left="0"/>
    </w:pPr>
    <w:rPr>
      <w:rFonts w:ascii="Cambria" w:hAnsi="Cambria"/>
      <w:sz w:val="22"/>
      <w:szCs w:val="22"/>
      <w:lang w:val="en-GB"/>
    </w:rPr>
  </w:style>
  <w:style w:type="character" w:customStyle="1" w:styleId="TableChar">
    <w:name w:val="Table Char"/>
    <w:link w:val="Table"/>
    <w:rsid w:val="00F10C57"/>
    <w:rPr>
      <w:rFonts w:ascii="Cambria" w:eastAsia="Times New Roman" w:hAnsi="Cambria" w:cs="Times New Roman"/>
      <w:lang w:val="en-GB"/>
    </w:rPr>
  </w:style>
  <w:style w:type="table" w:styleId="MediumShading1-Accent2">
    <w:name w:val="Medium Shading 1 Accent 2"/>
    <w:basedOn w:val="TableNormal"/>
    <w:uiPriority w:val="63"/>
    <w:rsid w:val="003751EE"/>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Grid2-Accent2">
    <w:name w:val="Medium Grid 2 Accent 2"/>
    <w:basedOn w:val="TableNormal"/>
    <w:uiPriority w:val="68"/>
    <w:rsid w:val="003751E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LightGrid-Accent1">
    <w:name w:val="Light Grid Accent 1"/>
    <w:basedOn w:val="TableNormal"/>
    <w:uiPriority w:val="62"/>
    <w:rsid w:val="003751E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
    <w:name w:val="Light Grid"/>
    <w:basedOn w:val="TableNormal"/>
    <w:uiPriority w:val="62"/>
    <w:rsid w:val="003751E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mailto:terje.kleemann@eas.e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atrin.andre@mkm.e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erly.lootus@mkm.e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kaie.nurmik@mkm.ee"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eas.ee/images/doc/sihtasutusest/uuringud/ettevotlus/easi-juhtimisuuring-2010_eas-i_final.pdf" TargetMode="External"/><Relationship Id="rId7" Type="http://schemas.openxmlformats.org/officeDocument/2006/relationships/hyperlink" Target="http://www.riigikontroll.ee/tabid/206/Audit/2340/Area/4/language/et-EE/Default.aspx" TargetMode="External"/><Relationship Id="rId2" Type="http://schemas.openxmlformats.org/officeDocument/2006/relationships/hyperlink" Target="http://www.eas.ee/images/doc/sihtasutusest/uuringud/ettevotlus/masinatoostuse-sektoruuring-lyhikokkuvote.pdf" TargetMode="External"/><Relationship Id="rId1" Type="http://schemas.openxmlformats.org/officeDocument/2006/relationships/hyperlink" Target="http://www.eas.ee/images/doc/sihtasutusest/uuringud/ettevotlus/EAS_juhtimisvaldkonna_uuring_Civitta_EBS_Final_2015_08_17.pdf" TargetMode="External"/><Relationship Id="rId6" Type="http://schemas.openxmlformats.org/officeDocument/2006/relationships/hyperlink" Target="http://www.eas.ee/images/doc/sihtasutusest/uuringud/ettevotlus/ettevotlustoetuste-vahehindamine-2014.pdf" TargetMode="External"/><Relationship Id="rId5" Type="http://schemas.openxmlformats.org/officeDocument/2006/relationships/hyperlink" Target="http://www.arengufond.ee/wp-content/uploads/2013/06/Nutikas-spetsialiseerumine-20_02_2013.pdf" TargetMode="External"/><Relationship Id="rId4" Type="http://schemas.openxmlformats.org/officeDocument/2006/relationships/hyperlink" Target="https://www.mkm.ee/sites/default/files/nsa_080415_oige.pdf"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embeddings/oleObject1.bin"/><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tx>
            <c:strRef>
              <c:f>'Tootlikkus ja TA kulud'!$T$3</c:f>
              <c:strCache>
                <c:ptCount val="1"/>
                <c:pt idx="0">
                  <c:v>GERD, % of GDP</c:v>
                </c:pt>
              </c:strCache>
            </c:strRef>
          </c:tx>
          <c:spPr>
            <a:ln w="19050" cap="rnd">
              <a:noFill/>
              <a:round/>
            </a:ln>
            <a:effectLst/>
          </c:spPr>
          <c:marker>
            <c:symbol val="circle"/>
            <c:size val="5"/>
            <c:spPr>
              <a:solidFill>
                <a:schemeClr val="accent1"/>
              </a:solidFill>
              <a:ln w="9525">
                <a:solidFill>
                  <a:schemeClr val="accent1"/>
                </a:solidFill>
              </a:ln>
              <a:effectLst/>
            </c:spPr>
          </c:marker>
          <c:dPt>
            <c:idx val="7"/>
            <c:marker>
              <c:symbol val="circle"/>
              <c:size val="5"/>
              <c:spPr>
                <a:solidFill>
                  <a:srgbClr val="FF0000"/>
                </a:solidFill>
                <a:ln w="9525">
                  <a:solidFill>
                    <a:schemeClr val="accent1"/>
                  </a:solidFill>
                </a:ln>
                <a:effectLst/>
              </c:spPr>
            </c:marker>
            <c:bubble3D val="0"/>
          </c:dPt>
          <c:dPt>
            <c:idx val="35"/>
            <c:marker>
              <c:symbol val="circle"/>
              <c:size val="5"/>
              <c:spPr>
                <a:solidFill>
                  <a:srgbClr val="00B050"/>
                </a:solidFill>
                <a:ln w="9525">
                  <a:solidFill>
                    <a:schemeClr val="accent1"/>
                  </a:solidFill>
                </a:ln>
                <a:effectLst/>
              </c:spPr>
            </c:marker>
            <c:bubble3D val="0"/>
          </c:dPt>
          <c:trendline>
            <c:spPr>
              <a:ln w="19050" cap="rnd">
                <a:solidFill>
                  <a:schemeClr val="accent1"/>
                </a:solidFill>
                <a:prstDash val="sysDot"/>
              </a:ln>
              <a:effectLst/>
            </c:spPr>
            <c:trendlineType val="exp"/>
            <c:dispRSqr val="0"/>
            <c:dispEq val="0"/>
          </c:trendline>
          <c:xVal>
            <c:numRef>
              <c:f>'Tootlikkus ja TA kulud'!$S$4:$S$39</c:f>
              <c:numCache>
                <c:formatCode>General</c:formatCode>
                <c:ptCount val="36"/>
                <c:pt idx="0">
                  <c:v>54.36</c:v>
                </c:pt>
                <c:pt idx="1">
                  <c:v>54.8</c:v>
                </c:pt>
                <c:pt idx="2">
                  <c:v>63.27</c:v>
                </c:pt>
                <c:pt idx="3">
                  <c:v>49.33</c:v>
                </c:pt>
                <c:pt idx="4">
                  <c:v>26.63</c:v>
                </c:pt>
                <c:pt idx="5">
                  <c:v>31.69</c:v>
                </c:pt>
                <c:pt idx="6">
                  <c:v>61.35</c:v>
                </c:pt>
                <c:pt idx="7">
                  <c:v>28.95</c:v>
                </c:pt>
                <c:pt idx="8">
                  <c:v>50.18</c:v>
                </c:pt>
                <c:pt idx="9">
                  <c:v>61.24</c:v>
                </c:pt>
                <c:pt idx="10">
                  <c:v>60.18</c:v>
                </c:pt>
                <c:pt idx="11">
                  <c:v>35.54</c:v>
                </c:pt>
                <c:pt idx="12">
                  <c:v>29.26</c:v>
                </c:pt>
                <c:pt idx="13">
                  <c:v>43.35</c:v>
                </c:pt>
                <c:pt idx="14">
                  <c:v>58.26</c:v>
                </c:pt>
                <c:pt idx="15">
                  <c:v>36.71</c:v>
                </c:pt>
                <c:pt idx="16">
                  <c:v>48.45</c:v>
                </c:pt>
                <c:pt idx="17">
                  <c:v>41.14</c:v>
                </c:pt>
                <c:pt idx="18">
                  <c:v>28.36</c:v>
                </c:pt>
                <c:pt idx="19">
                  <c:v>83.04</c:v>
                </c:pt>
                <c:pt idx="20">
                  <c:v>19.09</c:v>
                </c:pt>
                <c:pt idx="21">
                  <c:v>61.5</c:v>
                </c:pt>
                <c:pt idx="22">
                  <c:v>38.950000000000003</c:v>
                </c:pt>
                <c:pt idx="23">
                  <c:v>86.85</c:v>
                </c:pt>
                <c:pt idx="24">
                  <c:v>28.51</c:v>
                </c:pt>
                <c:pt idx="25">
                  <c:v>31.06</c:v>
                </c:pt>
                <c:pt idx="26">
                  <c:v>36.43</c:v>
                </c:pt>
                <c:pt idx="27">
                  <c:v>40.94</c:v>
                </c:pt>
                <c:pt idx="28">
                  <c:v>52.14</c:v>
                </c:pt>
                <c:pt idx="29">
                  <c:v>55.59</c:v>
                </c:pt>
                <c:pt idx="30">
                  <c:v>56.63</c:v>
                </c:pt>
                <c:pt idx="31">
                  <c:v>29.82</c:v>
                </c:pt>
                <c:pt idx="32">
                  <c:v>46.43</c:v>
                </c:pt>
                <c:pt idx="33">
                  <c:v>66.59</c:v>
                </c:pt>
                <c:pt idx="34">
                  <c:v>47.58</c:v>
                </c:pt>
                <c:pt idx="35">
                  <c:v>47.65</c:v>
                </c:pt>
              </c:numCache>
            </c:numRef>
          </c:xVal>
          <c:yVal>
            <c:numRef>
              <c:f>'Tootlikkus ja TA kulud'!$T$4:$T$39</c:f>
              <c:numCache>
                <c:formatCode>General</c:formatCode>
                <c:ptCount val="36"/>
                <c:pt idx="0">
                  <c:v>2.19</c:v>
                </c:pt>
                <c:pt idx="1">
                  <c:v>2.86</c:v>
                </c:pt>
                <c:pt idx="2">
                  <c:v>2.2400000000000002</c:v>
                </c:pt>
                <c:pt idx="3">
                  <c:v>1.69</c:v>
                </c:pt>
                <c:pt idx="4">
                  <c:v>0.35</c:v>
                </c:pt>
                <c:pt idx="5">
                  <c:v>1.88</c:v>
                </c:pt>
                <c:pt idx="6">
                  <c:v>2.98</c:v>
                </c:pt>
                <c:pt idx="7">
                  <c:v>2.19</c:v>
                </c:pt>
                <c:pt idx="8">
                  <c:v>3.55</c:v>
                </c:pt>
                <c:pt idx="9">
                  <c:v>2.29</c:v>
                </c:pt>
                <c:pt idx="10">
                  <c:v>2.98</c:v>
                </c:pt>
                <c:pt idx="11">
                  <c:v>0.69</c:v>
                </c:pt>
                <c:pt idx="12">
                  <c:v>1.3</c:v>
                </c:pt>
                <c:pt idx="13">
                  <c:v>2.61</c:v>
                </c:pt>
                <c:pt idx="14">
                  <c:v>1.66</c:v>
                </c:pt>
                <c:pt idx="15">
                  <c:v>3.93</c:v>
                </c:pt>
                <c:pt idx="16">
                  <c:v>1.27</c:v>
                </c:pt>
                <c:pt idx="17">
                  <c:v>3.35</c:v>
                </c:pt>
                <c:pt idx="18">
                  <c:v>4.3600000000000003</c:v>
                </c:pt>
                <c:pt idx="19">
                  <c:v>1.46</c:v>
                </c:pt>
                <c:pt idx="20">
                  <c:v>0.43</c:v>
                </c:pt>
                <c:pt idx="21">
                  <c:v>2.16</c:v>
                </c:pt>
                <c:pt idx="22">
                  <c:v>1.26</c:v>
                </c:pt>
                <c:pt idx="23">
                  <c:v>1.65</c:v>
                </c:pt>
                <c:pt idx="24">
                  <c:v>0.9</c:v>
                </c:pt>
                <c:pt idx="25">
                  <c:v>1.5</c:v>
                </c:pt>
                <c:pt idx="26">
                  <c:v>0.82</c:v>
                </c:pt>
                <c:pt idx="27">
                  <c:v>2.63</c:v>
                </c:pt>
                <c:pt idx="28">
                  <c:v>1.3</c:v>
                </c:pt>
                <c:pt idx="29">
                  <c:v>3.41</c:v>
                </c:pt>
                <c:pt idx="30">
                  <c:v>2.87</c:v>
                </c:pt>
                <c:pt idx="31">
                  <c:v>0.92</c:v>
                </c:pt>
                <c:pt idx="32">
                  <c:v>1.73</c:v>
                </c:pt>
                <c:pt idx="33">
                  <c:v>2.79</c:v>
                </c:pt>
                <c:pt idx="34">
                  <c:v>1.98</c:v>
                </c:pt>
                <c:pt idx="35">
                  <c:v>2.4</c:v>
                </c:pt>
              </c:numCache>
            </c:numRef>
          </c:yVal>
          <c:smooth val="0"/>
        </c:ser>
        <c:dLbls>
          <c:showLegendKey val="0"/>
          <c:showVal val="0"/>
          <c:showCatName val="0"/>
          <c:showSerName val="0"/>
          <c:showPercent val="0"/>
          <c:showBubbleSize val="0"/>
        </c:dLbls>
        <c:axId val="432300528"/>
        <c:axId val="450740488"/>
      </c:scatterChart>
      <c:valAx>
        <c:axId val="432300528"/>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t-EE"/>
                  <a:t>Tööjõu tootlikkus USD tunnis (PPP)</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50740488"/>
        <c:crosses val="autoZero"/>
        <c:crossBetween val="midCat"/>
      </c:valAx>
      <c:valAx>
        <c:axId val="45074048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T</a:t>
                </a:r>
                <a:r>
                  <a:rPr lang="et-EE"/>
                  <a:t>&amp;A</a:t>
                </a:r>
                <a:r>
                  <a:rPr lang="et-EE" baseline="0"/>
                  <a:t> kulude osakaal SKP-s %</a:t>
                </a:r>
                <a:endParaRPr 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32300528"/>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0.29792</cdr:x>
      <cdr:y>0.38715</cdr:y>
    </cdr:from>
    <cdr:to>
      <cdr:x>0.40417</cdr:x>
      <cdr:y>0.46007</cdr:y>
    </cdr:to>
    <cdr:sp macro="" textlink="">
      <cdr:nvSpPr>
        <cdr:cNvPr id="2" name="TextBox 1"/>
        <cdr:cNvSpPr txBox="1"/>
      </cdr:nvSpPr>
      <cdr:spPr>
        <a:xfrm xmlns:a="http://schemas.openxmlformats.org/drawingml/2006/main">
          <a:off x="1362074" y="1062038"/>
          <a:ext cx="485775" cy="2000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t-EE" sz="1100"/>
            <a:t>Eesti</a:t>
          </a:r>
        </a:p>
      </cdr:txBody>
    </cdr:sp>
  </cdr:relSizeAnchor>
  <cdr:relSizeAnchor xmlns:cdr="http://schemas.openxmlformats.org/drawingml/2006/chartDrawing">
    <cdr:from>
      <cdr:x>0.47361</cdr:x>
      <cdr:y>0.34838</cdr:y>
    </cdr:from>
    <cdr:to>
      <cdr:x>0.59792</cdr:x>
      <cdr:y>0.41493</cdr:y>
    </cdr:to>
    <cdr:sp macro="" textlink="">
      <cdr:nvSpPr>
        <cdr:cNvPr id="3" name="TextBox 1"/>
        <cdr:cNvSpPr txBox="1"/>
      </cdr:nvSpPr>
      <cdr:spPr>
        <a:xfrm xmlns:a="http://schemas.openxmlformats.org/drawingml/2006/main">
          <a:off x="2165350" y="955675"/>
          <a:ext cx="568325" cy="182563"/>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t-EE" sz="1100"/>
            <a:t>OECD</a:t>
          </a:r>
        </a:p>
      </cdr:txBody>
    </cdr:sp>
  </cdr:relSizeAnchor>
</c:userShape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44ADB1-F1DC-45A3-BB61-841F3BB54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8877</Words>
  <Characters>63744</Characters>
  <Application>Microsoft Office Word</Application>
  <DocSecurity>0</DocSecurity>
  <Lines>1158</Lines>
  <Paragraphs>232</Paragraphs>
  <ScaleCrop>false</ScaleCrop>
  <HeadingPairs>
    <vt:vector size="6" baseType="variant">
      <vt:variant>
        <vt:lpstr>Title</vt:lpstr>
      </vt:variant>
      <vt:variant>
        <vt:i4>1</vt:i4>
      </vt:variant>
      <vt:variant>
        <vt:lpstr>Pealkiri</vt:lpstr>
      </vt:variant>
      <vt:variant>
        <vt:i4>1</vt:i4>
      </vt:variant>
      <vt:variant>
        <vt:lpstr>Tiitel</vt:lpstr>
      </vt:variant>
      <vt:variant>
        <vt:i4>1</vt:i4>
      </vt:variant>
    </vt:vector>
  </HeadingPairs>
  <TitlesOfParts>
    <vt:vector size="3" baseType="lpstr">
      <vt:lpstr/>
      <vt:lpstr/>
      <vt:lpstr/>
    </vt:vector>
  </TitlesOfParts>
  <Company>Majandus- ja Kommunikatsiooniministeerium</Company>
  <LinksUpToDate>false</LinksUpToDate>
  <CharactersWithSpaces>72389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Eva Unt</dc:creator>
  <cp:lastModifiedBy>Gea Otsa</cp:lastModifiedBy>
  <cp:revision>2</cp:revision>
  <cp:lastPrinted>2015-10-29T08:23:00Z</cp:lastPrinted>
  <dcterms:created xsi:type="dcterms:W3CDTF">2015-11-09T13:16:00Z</dcterms:created>
  <dcterms:modified xsi:type="dcterms:W3CDTF">2015-11-09T13:16:00Z</dcterms:modified>
</cp:coreProperties>
</file>