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EBEAE" w14:textId="0189A8D7" w:rsidR="00206D9E" w:rsidRDefault="007C26AD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Teekaart teadus-arendus- ja innovatsioonirahani</w:t>
      </w:r>
    </w:p>
    <w:p w14:paraId="191EE6B2" w14:textId="5185030C" w:rsidR="00C6427E" w:rsidRDefault="00C6427E">
      <w:pPr>
        <w:rPr>
          <w:sz w:val="22"/>
          <w:szCs w:val="22"/>
          <w:lang w:val="et-EE"/>
        </w:rPr>
      </w:pPr>
    </w:p>
    <w:p w14:paraId="76D2B42B" w14:textId="44178B2C" w:rsidR="00C6427E" w:rsidRPr="000274F4" w:rsidRDefault="00C6427E">
      <w:pPr>
        <w:rPr>
          <w:sz w:val="20"/>
          <w:szCs w:val="20"/>
          <w:lang w:val="et-EE"/>
        </w:rPr>
      </w:pPr>
      <w:r w:rsidRPr="000274F4">
        <w:rPr>
          <w:sz w:val="20"/>
          <w:szCs w:val="20"/>
          <w:lang w:val="et-EE"/>
        </w:rPr>
        <w:t>Sisukord:</w:t>
      </w:r>
    </w:p>
    <w:p w14:paraId="5642F29F" w14:textId="63A5B21A" w:rsidR="00C6427E" w:rsidRPr="000274F4" w:rsidRDefault="00C6427E" w:rsidP="00C6427E">
      <w:pPr>
        <w:pStyle w:val="ListParagraph"/>
        <w:numPr>
          <w:ilvl w:val="0"/>
          <w:numId w:val="5"/>
        </w:numPr>
        <w:rPr>
          <w:sz w:val="20"/>
          <w:szCs w:val="20"/>
          <w:lang w:val="et-EE"/>
        </w:rPr>
      </w:pPr>
      <w:r w:rsidRPr="000274F4">
        <w:rPr>
          <w:sz w:val="20"/>
          <w:szCs w:val="20"/>
          <w:lang w:val="et-EE"/>
        </w:rPr>
        <w:t>Teaduskoostöö ja rakendusuuringud - ETAG</w:t>
      </w:r>
    </w:p>
    <w:p w14:paraId="6610911E" w14:textId="1583E04A" w:rsidR="00C6427E" w:rsidRPr="000274F4" w:rsidRDefault="00C6427E" w:rsidP="00C6427E">
      <w:pPr>
        <w:pStyle w:val="ListParagraph"/>
        <w:numPr>
          <w:ilvl w:val="0"/>
          <w:numId w:val="5"/>
        </w:numPr>
        <w:rPr>
          <w:sz w:val="20"/>
          <w:szCs w:val="20"/>
          <w:lang w:val="et-EE"/>
        </w:rPr>
      </w:pPr>
      <w:r w:rsidRPr="000274F4">
        <w:rPr>
          <w:sz w:val="20"/>
          <w:szCs w:val="20"/>
          <w:lang w:val="et-EE"/>
        </w:rPr>
        <w:t>Innovatsioon ja uuendus – EAS/Innovatsiooniagentuur</w:t>
      </w:r>
    </w:p>
    <w:p w14:paraId="1DB01C78" w14:textId="18D4E696" w:rsidR="00C6427E" w:rsidRPr="000274F4" w:rsidRDefault="00C6427E" w:rsidP="00C6427E">
      <w:pPr>
        <w:pStyle w:val="ListParagraph"/>
        <w:numPr>
          <w:ilvl w:val="0"/>
          <w:numId w:val="5"/>
        </w:numPr>
        <w:rPr>
          <w:sz w:val="20"/>
          <w:szCs w:val="20"/>
          <w:lang w:val="et-EE"/>
        </w:rPr>
      </w:pPr>
      <w:r w:rsidRPr="000274F4">
        <w:rPr>
          <w:sz w:val="20"/>
          <w:szCs w:val="20"/>
          <w:lang w:val="et-EE"/>
        </w:rPr>
        <w:t xml:space="preserve">Laenud ja käendused - </w:t>
      </w:r>
      <w:proofErr w:type="spellStart"/>
      <w:r w:rsidRPr="000274F4">
        <w:rPr>
          <w:sz w:val="20"/>
          <w:szCs w:val="20"/>
          <w:lang w:val="et-EE"/>
        </w:rPr>
        <w:t>Kredex</w:t>
      </w:r>
      <w:proofErr w:type="spellEnd"/>
    </w:p>
    <w:p w14:paraId="782436F2" w14:textId="00CADB50" w:rsidR="00C6427E" w:rsidRPr="000274F4" w:rsidRDefault="00C6427E" w:rsidP="00C6427E">
      <w:pPr>
        <w:pStyle w:val="ListParagraph"/>
        <w:numPr>
          <w:ilvl w:val="0"/>
          <w:numId w:val="5"/>
        </w:numPr>
        <w:rPr>
          <w:sz w:val="20"/>
          <w:szCs w:val="20"/>
          <w:lang w:val="et-EE"/>
        </w:rPr>
      </w:pPr>
      <w:r w:rsidRPr="000274F4">
        <w:rPr>
          <w:sz w:val="20"/>
          <w:szCs w:val="20"/>
          <w:lang w:val="et-EE"/>
        </w:rPr>
        <w:t>Rohepööre - KIK</w:t>
      </w:r>
    </w:p>
    <w:p w14:paraId="44D4B266" w14:textId="4A65DCB2" w:rsidR="00206D9E" w:rsidRPr="001D46B0" w:rsidRDefault="00206D9E" w:rsidP="00E47F61">
      <w:pPr>
        <w:rPr>
          <w:sz w:val="22"/>
          <w:szCs w:val="22"/>
          <w:lang w:val="et-EE"/>
        </w:rPr>
      </w:pPr>
    </w:p>
    <w:tbl>
      <w:tblPr>
        <w:tblStyle w:val="TableGrid"/>
        <w:tblW w:w="9010" w:type="dxa"/>
        <w:tblLayout w:type="fixed"/>
        <w:tblLook w:val="04A0" w:firstRow="1" w:lastRow="0" w:firstColumn="1" w:lastColumn="0" w:noHBand="0" w:noVBand="1"/>
      </w:tblPr>
      <w:tblGrid>
        <w:gridCol w:w="386"/>
        <w:gridCol w:w="2120"/>
        <w:gridCol w:w="3159"/>
        <w:gridCol w:w="1843"/>
        <w:gridCol w:w="1502"/>
      </w:tblGrid>
      <w:tr w:rsidR="00E51725" w:rsidRPr="00F71550" w14:paraId="39B9620B" w14:textId="4B92F232" w:rsidTr="00ED0520">
        <w:tc>
          <w:tcPr>
            <w:tcW w:w="386" w:type="dxa"/>
          </w:tcPr>
          <w:p w14:paraId="398448F2" w14:textId="77777777" w:rsidR="00E51725" w:rsidRPr="00F71550" w:rsidRDefault="00E51725" w:rsidP="00E47F61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</w:tcPr>
          <w:p w14:paraId="705E1E60" w14:textId="4CAA3A1D" w:rsidR="00E51725" w:rsidRPr="007F785B" w:rsidRDefault="00E51725" w:rsidP="00E47F61">
            <w:pPr>
              <w:rPr>
                <w:sz w:val="20"/>
                <w:szCs w:val="20"/>
                <w:lang w:val="et-EE"/>
              </w:rPr>
            </w:pPr>
            <w:r w:rsidRPr="007F785B">
              <w:rPr>
                <w:sz w:val="20"/>
                <w:szCs w:val="20"/>
                <w:lang w:val="et-EE"/>
              </w:rPr>
              <w:t>Meede (täiendava info saamiseks klõpsa lingil)</w:t>
            </w:r>
          </w:p>
        </w:tc>
        <w:tc>
          <w:tcPr>
            <w:tcW w:w="3159" w:type="dxa"/>
          </w:tcPr>
          <w:p w14:paraId="65C034C5" w14:textId="3869ADE9" w:rsidR="00E51725" w:rsidRPr="007F785B" w:rsidRDefault="00E51725" w:rsidP="00E47F61">
            <w:pPr>
              <w:rPr>
                <w:sz w:val="20"/>
                <w:szCs w:val="20"/>
                <w:lang w:val="et-EE"/>
              </w:rPr>
            </w:pPr>
            <w:r w:rsidRPr="007F785B">
              <w:rPr>
                <w:sz w:val="20"/>
                <w:szCs w:val="20"/>
                <w:lang w:val="et-EE"/>
              </w:rPr>
              <w:t>Eesmärk või lühikirjeldus</w:t>
            </w:r>
          </w:p>
        </w:tc>
        <w:tc>
          <w:tcPr>
            <w:tcW w:w="1843" w:type="dxa"/>
          </w:tcPr>
          <w:p w14:paraId="5D239935" w14:textId="29B6D8F1" w:rsidR="00E51725" w:rsidRPr="007F785B" w:rsidRDefault="00E51725" w:rsidP="00E47F61">
            <w:pPr>
              <w:rPr>
                <w:sz w:val="20"/>
                <w:szCs w:val="20"/>
                <w:lang w:val="et-EE"/>
              </w:rPr>
            </w:pPr>
            <w:r w:rsidRPr="007F785B">
              <w:rPr>
                <w:sz w:val="20"/>
                <w:szCs w:val="20"/>
                <w:lang w:val="et-EE"/>
              </w:rPr>
              <w:t>Kogumaht (</w:t>
            </w:r>
            <w:proofErr w:type="spellStart"/>
            <w:r w:rsidRPr="007F785B">
              <w:rPr>
                <w:sz w:val="20"/>
                <w:szCs w:val="20"/>
                <w:lang w:val="et-EE"/>
              </w:rPr>
              <w:t>eur</w:t>
            </w:r>
            <w:proofErr w:type="spellEnd"/>
            <w:r w:rsidRPr="007F785B">
              <w:rPr>
                <w:sz w:val="20"/>
                <w:szCs w:val="20"/>
                <w:lang w:val="et-EE"/>
              </w:rPr>
              <w:t>)</w:t>
            </w:r>
          </w:p>
        </w:tc>
        <w:tc>
          <w:tcPr>
            <w:tcW w:w="1502" w:type="dxa"/>
          </w:tcPr>
          <w:p w14:paraId="5F623F61" w14:textId="711CCA06" w:rsidR="00E51725" w:rsidRPr="007F785B" w:rsidRDefault="00E51725" w:rsidP="00E47F61">
            <w:pPr>
              <w:rPr>
                <w:sz w:val="20"/>
                <w:szCs w:val="20"/>
                <w:lang w:val="et-EE"/>
              </w:rPr>
            </w:pPr>
            <w:r w:rsidRPr="007F785B">
              <w:rPr>
                <w:sz w:val="20"/>
                <w:szCs w:val="20"/>
                <w:lang w:val="et-EE"/>
              </w:rPr>
              <w:t>Taotluse maksimum summa (</w:t>
            </w:r>
            <w:proofErr w:type="spellStart"/>
            <w:r w:rsidRPr="007F785B">
              <w:rPr>
                <w:sz w:val="20"/>
                <w:szCs w:val="20"/>
                <w:lang w:val="et-EE"/>
              </w:rPr>
              <w:t>eur</w:t>
            </w:r>
            <w:proofErr w:type="spellEnd"/>
            <w:r w:rsidRPr="007F785B">
              <w:rPr>
                <w:sz w:val="20"/>
                <w:szCs w:val="20"/>
                <w:lang w:val="et-EE"/>
              </w:rPr>
              <w:t>)</w:t>
            </w:r>
          </w:p>
        </w:tc>
      </w:tr>
      <w:tr w:rsidR="000274F4" w:rsidRPr="00F71550" w14:paraId="7A19CFD3" w14:textId="5726568F" w:rsidTr="00ED0520">
        <w:tc>
          <w:tcPr>
            <w:tcW w:w="386" w:type="dxa"/>
            <w:vMerge w:val="restart"/>
            <w:shd w:val="clear" w:color="auto" w:fill="DEEAF6" w:themeFill="accent5" w:themeFillTint="33"/>
            <w:textDirection w:val="btLr"/>
          </w:tcPr>
          <w:p w14:paraId="514823CB" w14:textId="213BDED4" w:rsidR="000274F4" w:rsidRPr="00F71550" w:rsidRDefault="000274F4" w:rsidP="004C400E">
            <w:pPr>
              <w:ind w:left="113" w:right="113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Teaduskoostöö ja rakendusuuringud</w:t>
            </w:r>
          </w:p>
        </w:tc>
        <w:tc>
          <w:tcPr>
            <w:tcW w:w="8624" w:type="dxa"/>
            <w:gridSpan w:val="4"/>
            <w:shd w:val="clear" w:color="auto" w:fill="DEEAF6" w:themeFill="accent5" w:themeFillTint="33"/>
          </w:tcPr>
          <w:p w14:paraId="74D3A27C" w14:textId="168509C5" w:rsidR="000274F4" w:rsidRPr="000274F4" w:rsidRDefault="006929D4" w:rsidP="000274F4">
            <w:pPr>
              <w:rPr>
                <w:lang w:val="et-EE"/>
              </w:rPr>
            </w:pPr>
            <w:hyperlink r:id="rId5" w:history="1">
              <w:r w:rsidR="000274F4" w:rsidRPr="000274F4">
                <w:rPr>
                  <w:rStyle w:val="Hyperlink"/>
                  <w:lang w:val="et-EE"/>
                </w:rPr>
                <w:t>Eesti Teadusagentuuri</w:t>
              </w:r>
            </w:hyperlink>
            <w:r w:rsidR="000274F4" w:rsidRPr="000274F4">
              <w:rPr>
                <w:lang w:val="et-EE"/>
              </w:rPr>
              <w:t xml:space="preserve"> (ETAG) koordineeritavad toetused:</w:t>
            </w:r>
          </w:p>
        </w:tc>
      </w:tr>
      <w:tr w:rsidR="000274F4" w:rsidRPr="00F71550" w14:paraId="298D3D71" w14:textId="760D5685" w:rsidTr="00ED0520">
        <w:tc>
          <w:tcPr>
            <w:tcW w:w="386" w:type="dxa"/>
            <w:vMerge/>
            <w:shd w:val="clear" w:color="auto" w:fill="DEEAF6" w:themeFill="accent5" w:themeFillTint="33"/>
            <w:textDirection w:val="btLr"/>
          </w:tcPr>
          <w:p w14:paraId="15C2019C" w14:textId="7E626EA6" w:rsidR="000274F4" w:rsidRPr="00F71550" w:rsidRDefault="000274F4" w:rsidP="004C400E">
            <w:pPr>
              <w:ind w:left="113" w:right="113"/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EEB3" w14:textId="0088561E" w:rsidR="000274F4" w:rsidRPr="00552707" w:rsidRDefault="006929D4" w:rsidP="004C40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" w:history="1">
              <w:r w:rsidR="000274F4" w:rsidRPr="00AA5854">
                <w:rPr>
                  <w:rStyle w:val="Hyperlink"/>
                  <w:rFonts w:ascii="Calibri" w:hAnsi="Calibri" w:cs="Calibri"/>
                  <w:sz w:val="18"/>
                  <w:szCs w:val="18"/>
                </w:rPr>
                <w:t>Horizon 2020</w:t>
              </w:r>
            </w:hyperlink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300D" w14:textId="7A81C7B3" w:rsidR="000274F4" w:rsidRPr="00F71550" w:rsidRDefault="000274F4" w:rsidP="004C400E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Maailma suurim teadus- ja arendustegevust ning rahvusvahelist koostööd toetav programm. Prioriteedid: tipptasemel teadus, juhtpositsioon tööstuses, ühiskonnas aktuaalsed probleemid. Võimalik osaleda koos Eesti või välisriikide ettevõtete ja teadusasutustega.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A017" w14:textId="5881E845" w:rsidR="000274F4" w:rsidRPr="00F71550" w:rsidRDefault="000274F4" w:rsidP="004C400E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 mld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26AC" w14:textId="28398802" w:rsidR="000274F4" w:rsidRPr="00F71550" w:rsidRDefault="000274F4" w:rsidP="004C400E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ole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fikseeritud</w:t>
            </w:r>
          </w:p>
        </w:tc>
      </w:tr>
      <w:tr w:rsidR="000274F4" w:rsidRPr="00F71550" w14:paraId="5AFC0040" w14:textId="77777777" w:rsidTr="00ED0520">
        <w:tc>
          <w:tcPr>
            <w:tcW w:w="386" w:type="dxa"/>
            <w:vMerge/>
            <w:shd w:val="clear" w:color="auto" w:fill="DEEAF6" w:themeFill="accent5" w:themeFillTint="33"/>
          </w:tcPr>
          <w:p w14:paraId="2B4E5CE6" w14:textId="77777777" w:rsidR="000274F4" w:rsidRPr="00F71550" w:rsidRDefault="000274F4" w:rsidP="001901E7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BA78" w14:textId="77777777" w:rsidR="000274F4" w:rsidRPr="00AA5854" w:rsidRDefault="006929D4" w:rsidP="001901E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" w:anchor="nutikasv" w:history="1">
              <w:r w:rsidR="000274F4" w:rsidRPr="00AA5854">
                <w:rPr>
                  <w:rStyle w:val="Hyperlink"/>
                  <w:rFonts w:ascii="Calibri" w:hAnsi="Calibri" w:cs="Calibri"/>
                  <w:sz w:val="18"/>
                  <w:szCs w:val="18"/>
                </w:rPr>
                <w:t xml:space="preserve">Rakendusuuringud nutika spetsialiseerumise kasvuvaldkondades NUTIKAS </w:t>
              </w:r>
            </w:hyperlink>
          </w:p>
          <w:p w14:paraId="7F548267" w14:textId="77777777" w:rsidR="000274F4" w:rsidRPr="00AA5854" w:rsidRDefault="000274F4" w:rsidP="001901E7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B083" w14:textId="77777777" w:rsidR="000274F4" w:rsidRPr="004C400E" w:rsidRDefault="000274F4" w:rsidP="001901E7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Aidata kaasa Eesti majanduse teadmusmahukuse kasvule, toetades teadusasutuste ja ettevõtete koostööd. Tõsta teadusasutuste võimekust ettevõtlusele vajalike rakendusuuringute läbiviimiseks nutika spetsialiseerumise kasvuvaldkondades.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 </w:t>
            </w:r>
            <w:r w:rsidRPr="004C400E"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Taotleja on ettevõte, kelle huvides uuring läbi viiakse.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7E9D" w14:textId="77777777" w:rsidR="000274F4" w:rsidRPr="00F71550" w:rsidRDefault="000274F4" w:rsidP="001901E7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25,5 mln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0B86" w14:textId="77777777" w:rsidR="000274F4" w:rsidRPr="00F71550" w:rsidRDefault="000274F4" w:rsidP="001901E7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mln</w:t>
            </w:r>
          </w:p>
        </w:tc>
      </w:tr>
      <w:tr w:rsidR="000274F4" w:rsidRPr="00F71550" w14:paraId="483ED786" w14:textId="77777777" w:rsidTr="00ED0520">
        <w:tc>
          <w:tcPr>
            <w:tcW w:w="386" w:type="dxa"/>
            <w:vMerge/>
            <w:shd w:val="clear" w:color="auto" w:fill="DEEAF6" w:themeFill="accent5" w:themeFillTint="33"/>
          </w:tcPr>
          <w:p w14:paraId="2FD8C687" w14:textId="77777777" w:rsidR="000274F4" w:rsidRPr="00F71550" w:rsidRDefault="000274F4" w:rsidP="001901E7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F58C" w14:textId="77777777" w:rsidR="000274F4" w:rsidRPr="00AA5854" w:rsidRDefault="006929D4" w:rsidP="001901E7">
            <w:pPr>
              <w:rPr>
                <w:sz w:val="18"/>
                <w:szCs w:val="18"/>
                <w:lang w:val="et-EE"/>
              </w:rPr>
            </w:pPr>
            <w:hyperlink r:id="rId8" w:anchor="ResTA" w:history="1">
              <w:r w:rsidR="000274F4" w:rsidRPr="00AA5854">
                <w:rPr>
                  <w:rStyle w:val="Hyperlink"/>
                  <w:rFonts w:ascii="Calibri" w:hAnsi="Calibri" w:cs="Calibri"/>
                  <w:sz w:val="18"/>
                  <w:szCs w:val="18"/>
                </w:rPr>
                <w:t>Ressursside väärindamise teadus- ja arendustegevuse toetamine – ResTA</w:t>
              </w:r>
            </w:hyperlink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C0CB" w14:textId="77777777" w:rsidR="000274F4" w:rsidRPr="004C400E" w:rsidRDefault="000274F4" w:rsidP="001901E7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Toetada ettevõtluse vajadusest lähtuvat teadus- ja arendustegevust puidu, toidu ja maapõueressursside väärindamisel, et soodustada neis valdkondades teadusrühmade võimekuse tõusu, valdkondlike spetsialistide pealekasvu ning arenduskoostööd ettevõtete ja teadusasutuste vahel.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 </w:t>
            </w:r>
            <w:r w:rsidRPr="004C400E"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Uuringuid viiakse läbi ettevõtete huvides, kuid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taotlejad ja </w:t>
            </w:r>
            <w:r w:rsidRPr="004C400E"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uuringute läbiviijad on teadusasutused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09C8" w14:textId="77777777" w:rsidR="000274F4" w:rsidRPr="00F71550" w:rsidRDefault="000274F4" w:rsidP="001901E7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 mln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15EC" w14:textId="77777777" w:rsidR="000274F4" w:rsidRPr="00F71550" w:rsidRDefault="000274F4" w:rsidP="001901E7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770 000</w:t>
            </w:r>
          </w:p>
        </w:tc>
      </w:tr>
      <w:tr w:rsidR="000274F4" w:rsidRPr="00F71550" w14:paraId="372A1C71" w14:textId="77777777" w:rsidTr="00ED0520">
        <w:tc>
          <w:tcPr>
            <w:tcW w:w="386" w:type="dxa"/>
            <w:vMerge/>
            <w:shd w:val="clear" w:color="auto" w:fill="DEEAF6" w:themeFill="accent5" w:themeFillTint="33"/>
          </w:tcPr>
          <w:p w14:paraId="2DDF12E3" w14:textId="77777777" w:rsidR="000274F4" w:rsidRPr="00F71550" w:rsidRDefault="000274F4" w:rsidP="001901E7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54D2" w14:textId="77777777" w:rsidR="000274F4" w:rsidRPr="00AA5854" w:rsidRDefault="006929D4" w:rsidP="001901E7">
            <w:pPr>
              <w:rPr>
                <w:sz w:val="18"/>
                <w:szCs w:val="18"/>
                <w:lang w:val="et-EE"/>
              </w:rPr>
            </w:pPr>
            <w:hyperlink r:id="rId9" w:history="1">
              <w:r w:rsidR="000274F4" w:rsidRPr="00AA5854">
                <w:rPr>
                  <w:rStyle w:val="Hyperlink"/>
                  <w:rFonts w:ascii="Calibri" w:hAnsi="Calibri" w:cs="Calibri"/>
                  <w:sz w:val="18"/>
                  <w:szCs w:val="18"/>
                </w:rPr>
                <w:t>H2020 projektide ettevalmistustoetus</w:t>
              </w:r>
            </w:hyperlink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EBA3" w14:textId="77777777" w:rsidR="000274F4" w:rsidRPr="004C400E" w:rsidRDefault="000274F4" w:rsidP="001901E7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Kompenseerib Horisont 2020 ja COSTi projektitaotluste koostamist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. </w:t>
            </w:r>
            <w:r w:rsidRPr="004C400E"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Projektitaotlus on ületanud hindamiskünnise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, kuid ei pea olema edukas.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7C8C" w14:textId="77777777" w:rsidR="000274F4" w:rsidRPr="00F71550" w:rsidRDefault="000274F4" w:rsidP="001901E7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067" w14:textId="77777777" w:rsidR="000274F4" w:rsidRPr="00F71550" w:rsidRDefault="000274F4" w:rsidP="001901E7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Konsortsiumi koordinaatorile (põhitaotlejale): 4000 €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Individuaalprojektile: 2400 €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Balti boonus: 1000 €</w:t>
            </w:r>
          </w:p>
        </w:tc>
      </w:tr>
      <w:tr w:rsidR="000274F4" w:rsidRPr="00F71550" w14:paraId="7AE3FA23" w14:textId="77777777" w:rsidTr="00ED0520">
        <w:tc>
          <w:tcPr>
            <w:tcW w:w="386" w:type="dxa"/>
            <w:vMerge/>
            <w:shd w:val="clear" w:color="auto" w:fill="DEEAF6" w:themeFill="accent5" w:themeFillTint="33"/>
          </w:tcPr>
          <w:p w14:paraId="6591D99D" w14:textId="77777777" w:rsidR="000274F4" w:rsidRPr="00F71550" w:rsidRDefault="000274F4" w:rsidP="001901E7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4F94" w14:textId="77777777" w:rsidR="000274F4" w:rsidRPr="00AA5854" w:rsidRDefault="006929D4" w:rsidP="00ED052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" w:history="1">
              <w:r w:rsidR="000274F4" w:rsidRPr="00AA5854">
                <w:rPr>
                  <w:rStyle w:val="Hyperlink"/>
                  <w:rFonts w:ascii="Calibri" w:hAnsi="Calibri" w:cs="Calibri"/>
                  <w:sz w:val="18"/>
                  <w:szCs w:val="18"/>
                </w:rPr>
                <w:t xml:space="preserve">H2020: VKE-de toetusskeem EIC </w:t>
              </w:r>
              <w:r w:rsidR="000274F4" w:rsidRPr="00AA5854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br/>
              </w:r>
              <w:r w:rsidR="000274F4" w:rsidRPr="00AA5854">
                <w:rPr>
                  <w:rStyle w:val="Hyperlink"/>
                  <w:rFonts w:ascii="Calibri" w:hAnsi="Calibri" w:cs="Calibri"/>
                  <w:sz w:val="18"/>
                  <w:szCs w:val="18"/>
                </w:rPr>
                <w:t>Accelerator (VKE instrument)</w:t>
              </w:r>
            </w:hyperlink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97B0" w14:textId="77777777" w:rsidR="000274F4" w:rsidRDefault="000274F4" w:rsidP="00ED05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Väga kõrge innovatsioonitasemega projektide toetusskeem VKE-dele toodete, teenuste, protsesside turuvalmis arendamiseks ja turule toomiseks (alates TRL 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1A3F" w14:textId="77777777" w:rsidR="000274F4" w:rsidRDefault="000274F4" w:rsidP="00ED05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BE86" w14:textId="77777777" w:rsidR="000274F4" w:rsidRDefault="000274F4" w:rsidP="00ED05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oetus kuni 2,5 mln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omakapitaliinvesteering kuni 15 min</w:t>
            </w:r>
          </w:p>
        </w:tc>
      </w:tr>
      <w:tr w:rsidR="000274F4" w:rsidRPr="00F71550" w14:paraId="7D901C2F" w14:textId="77777777" w:rsidTr="00ED0520">
        <w:tc>
          <w:tcPr>
            <w:tcW w:w="386" w:type="dxa"/>
            <w:vMerge/>
            <w:shd w:val="clear" w:color="auto" w:fill="DEEAF6" w:themeFill="accent5" w:themeFillTint="33"/>
          </w:tcPr>
          <w:p w14:paraId="16FFFA4B" w14:textId="77777777" w:rsidR="000274F4" w:rsidRPr="00F71550" w:rsidRDefault="000274F4" w:rsidP="001901E7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C02C" w14:textId="77777777" w:rsidR="000274F4" w:rsidRPr="00AA5854" w:rsidRDefault="006929D4" w:rsidP="00ED052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" w:history="1">
              <w:r w:rsidR="000274F4" w:rsidRPr="00AA5854">
                <w:rPr>
                  <w:rStyle w:val="Hyperlink"/>
                  <w:rFonts w:ascii="Calibri" w:hAnsi="Calibri" w:cs="Calibri"/>
                  <w:sz w:val="18"/>
                  <w:szCs w:val="18"/>
                </w:rPr>
                <w:t xml:space="preserve">Horiont 2020: Fast Track to </w:t>
              </w:r>
              <w:r w:rsidR="000274F4" w:rsidRPr="00AA5854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br/>
              </w:r>
              <w:r w:rsidR="000274F4" w:rsidRPr="00AA5854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Innovation (FTI)</w:t>
              </w:r>
            </w:hyperlink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4947" w14:textId="77777777" w:rsidR="000274F4" w:rsidRDefault="000274F4" w:rsidP="00ED05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Väga kõrge innovatsioonitasemega projektide toetusskeem toodete, teenuste, protsesside turuvalmis arendamiseks (alates TRL 6). Osaleda saavad kuni 5-liikmelised konsortsiumid.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F4D8" w14:textId="77777777" w:rsidR="000274F4" w:rsidRDefault="000274F4" w:rsidP="00ED05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EA52" w14:textId="77777777" w:rsidR="000274F4" w:rsidRPr="00AA5854" w:rsidRDefault="000274F4" w:rsidP="00ED05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5854">
              <w:rPr>
                <w:rFonts w:ascii="Calibri" w:hAnsi="Calibri" w:cs="Calibri"/>
                <w:color w:val="000000"/>
                <w:sz w:val="18"/>
                <w:szCs w:val="18"/>
              </w:rPr>
              <w:t>kuni 3 mln</w:t>
            </w:r>
          </w:p>
        </w:tc>
      </w:tr>
      <w:tr w:rsidR="000274F4" w:rsidRPr="00F71550" w14:paraId="17591E22" w14:textId="77777777" w:rsidTr="00ED0520">
        <w:tc>
          <w:tcPr>
            <w:tcW w:w="386" w:type="dxa"/>
            <w:vMerge/>
            <w:shd w:val="clear" w:color="auto" w:fill="DEEAF6" w:themeFill="accent5" w:themeFillTint="33"/>
          </w:tcPr>
          <w:p w14:paraId="38C2D06F" w14:textId="77777777" w:rsidR="000274F4" w:rsidRPr="00F71550" w:rsidRDefault="000274F4" w:rsidP="00FB2722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0A0E" w14:textId="3EB2E47F" w:rsidR="000274F4" w:rsidRPr="00F7426D" w:rsidRDefault="006929D4" w:rsidP="00FB2722">
            <w:pP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</w:pPr>
            <w:hyperlink r:id="rId12" w:history="1">
              <w:r w:rsidR="000274F4" w:rsidRPr="00F7426D">
                <w:rPr>
                  <w:rStyle w:val="Hyperlink"/>
                  <w:rFonts w:ascii="Calibri" w:hAnsi="Calibri" w:cs="Calibri"/>
                  <w:sz w:val="18"/>
                  <w:szCs w:val="18"/>
                </w:rPr>
                <w:t>Sektoriaalse mobiilsuse toetus</w:t>
              </w:r>
            </w:hyperlink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AD47" w14:textId="199F006C" w:rsidR="000274F4" w:rsidRPr="006F71D3" w:rsidRDefault="006F71D3" w:rsidP="00FB2722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Teadlase palkamine ettevõttesse.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4FBD" w14:textId="38349262" w:rsidR="000274F4" w:rsidRPr="00F7426D" w:rsidRDefault="00F7426D" w:rsidP="00FB2722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1,8 mln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E26C" w14:textId="007A00CF" w:rsidR="000274F4" w:rsidRPr="00F71550" w:rsidRDefault="00F7426D" w:rsidP="00FB2722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Kuni </w:t>
            </w:r>
            <w:r w:rsidR="000274F4">
              <w:rPr>
                <w:rFonts w:ascii="Calibri" w:hAnsi="Calibri" w:cs="Calibri"/>
                <w:color w:val="000000"/>
                <w:sz w:val="18"/>
                <w:szCs w:val="18"/>
              </w:rPr>
              <w:t>110 000</w:t>
            </w:r>
          </w:p>
        </w:tc>
      </w:tr>
      <w:tr w:rsidR="0062184A" w:rsidRPr="00F71550" w14:paraId="04517794" w14:textId="77777777" w:rsidTr="00ED0520">
        <w:tc>
          <w:tcPr>
            <w:tcW w:w="386" w:type="dxa"/>
            <w:vMerge/>
            <w:shd w:val="clear" w:color="auto" w:fill="DEEAF6" w:themeFill="accent5" w:themeFillTint="33"/>
          </w:tcPr>
          <w:p w14:paraId="76F62CB6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2377" w14:textId="77777777" w:rsidR="0062184A" w:rsidRDefault="0062184A" w:rsidP="0062184A">
            <w:pPr>
              <w:rPr>
                <w:sz w:val="18"/>
                <w:szCs w:val="18"/>
                <w:lang w:val="et-EE"/>
              </w:rPr>
            </w:pPr>
            <w:hyperlink r:id="rId13" w:history="1">
              <w:proofErr w:type="spellStart"/>
              <w:r w:rsidRPr="001F000B">
                <w:rPr>
                  <w:rStyle w:val="Hyperlink"/>
                  <w:sz w:val="18"/>
                  <w:szCs w:val="18"/>
                  <w:lang w:val="et-EE"/>
                </w:rPr>
                <w:t>Green</w:t>
              </w:r>
              <w:proofErr w:type="spellEnd"/>
              <w:r w:rsidRPr="001F000B">
                <w:rPr>
                  <w:rStyle w:val="Hyperlink"/>
                  <w:sz w:val="18"/>
                  <w:szCs w:val="18"/>
                  <w:lang w:val="et-EE"/>
                </w:rPr>
                <w:t xml:space="preserve"> Deal </w:t>
              </w:r>
              <w:proofErr w:type="spellStart"/>
              <w:r w:rsidRPr="001F000B">
                <w:rPr>
                  <w:rStyle w:val="Hyperlink"/>
                  <w:sz w:val="18"/>
                  <w:szCs w:val="18"/>
                  <w:lang w:val="et-EE"/>
                </w:rPr>
                <w:t>Call</w:t>
              </w:r>
              <w:proofErr w:type="spellEnd"/>
            </w:hyperlink>
          </w:p>
          <w:p w14:paraId="5D1E2CBD" w14:textId="3E0E6911" w:rsidR="0062184A" w:rsidRDefault="0062184A" w:rsidP="0062184A">
            <w:r>
              <w:rPr>
                <w:color w:val="FF0000"/>
                <w:sz w:val="18"/>
                <w:szCs w:val="18"/>
                <w:lang w:val="et-EE"/>
              </w:rPr>
              <w:t>T</w:t>
            </w:r>
            <w:r w:rsidRPr="004856B4">
              <w:rPr>
                <w:color w:val="FF0000"/>
                <w:sz w:val="18"/>
                <w:szCs w:val="18"/>
                <w:lang w:val="et-EE"/>
              </w:rPr>
              <w:t>aotluste vastuvõtt lõpeb</w:t>
            </w:r>
            <w:r w:rsidRPr="001F000B">
              <w:rPr>
                <w:color w:val="FF0000"/>
                <w:sz w:val="18"/>
                <w:szCs w:val="18"/>
                <w:lang w:val="et-EE"/>
              </w:rPr>
              <w:t xml:space="preserve"> 26. jaanuar 2021!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3AC8" w14:textId="7AD4E963" w:rsidR="0062184A" w:rsidRDefault="0062184A" w:rsidP="006218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Horizon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 2020 taotlusvoor </w:t>
            </w:r>
            <w:r w:rsidRPr="0077609E"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Euroopa Komisjoni Roheleppe rakendamiseks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sektoriaalsed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 väljakutsed, energeetika, transport, </w:t>
            </w:r>
            <w:r w:rsidR="006929D4"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ringmajandus, „talust-taldrikule“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 jne.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E89E" w14:textId="6CEC86A1" w:rsidR="0062184A" w:rsidRDefault="0062184A" w:rsidP="006218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t-EE"/>
              </w:rPr>
              <w:t>1 miljard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C6B3" w14:textId="77777777" w:rsidR="0062184A" w:rsidRDefault="0062184A" w:rsidP="006218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2184A" w:rsidRPr="00F71550" w14:paraId="27C333D5" w14:textId="77777777" w:rsidTr="00ED0520">
        <w:tc>
          <w:tcPr>
            <w:tcW w:w="386" w:type="dxa"/>
            <w:vMerge/>
            <w:shd w:val="clear" w:color="auto" w:fill="DEEAF6" w:themeFill="accent5" w:themeFillTint="33"/>
          </w:tcPr>
          <w:p w14:paraId="695ECA06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3233" w14:textId="77777777" w:rsidR="0062184A" w:rsidRPr="00AA5854" w:rsidRDefault="0062184A" w:rsidP="0062184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" w:anchor="RITA" w:history="1">
              <w:r w:rsidRPr="00AA5854">
                <w:rPr>
                  <w:rStyle w:val="Hyperlink"/>
                  <w:rFonts w:ascii="Calibri" w:hAnsi="Calibri" w:cs="Calibri"/>
                  <w:sz w:val="18"/>
                  <w:szCs w:val="18"/>
                </w:rPr>
                <w:t>Valdkondliku teadus- ja arendustegevuse toetamine – RITA</w:t>
              </w:r>
            </w:hyperlink>
          </w:p>
          <w:p w14:paraId="6887CF8D" w14:textId="77777777" w:rsidR="0062184A" w:rsidRPr="00AA5854" w:rsidRDefault="0062184A" w:rsidP="0062184A">
            <w:pPr>
              <w:rPr>
                <w:sz w:val="18"/>
                <w:szCs w:val="18"/>
                <w:lang w:val="et-EE"/>
              </w:rPr>
            </w:pPr>
            <w:r w:rsidRPr="00AA5854">
              <w:rPr>
                <w:color w:val="FF0000"/>
                <w:sz w:val="18"/>
                <w:szCs w:val="18"/>
                <w:lang w:val="et-EE"/>
              </w:rPr>
              <w:t>Toetust antakse veel vaid uutele koroonaviirusega seotud uuringutele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4C55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Toetatakse ministeeriumide rakendusuuringute tellimist teadmuspõhisteks otsusteks, erialaliitudesse arendusnõunike värbamist jmt.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393C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 mln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A344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 mln</w:t>
            </w:r>
          </w:p>
        </w:tc>
      </w:tr>
      <w:tr w:rsidR="0062184A" w:rsidRPr="00F71550" w14:paraId="333E56DE" w14:textId="0B818627" w:rsidTr="00ED0520">
        <w:tc>
          <w:tcPr>
            <w:tcW w:w="386" w:type="dxa"/>
            <w:vMerge/>
            <w:shd w:val="clear" w:color="auto" w:fill="DEEAF6" w:themeFill="accent5" w:themeFillTint="33"/>
          </w:tcPr>
          <w:p w14:paraId="603B7BBA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72F8" w14:textId="77777777" w:rsidR="0062184A" w:rsidRDefault="0062184A" w:rsidP="0062184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" w:history="1">
              <w:r w:rsidRPr="00AA5854">
                <w:rPr>
                  <w:rStyle w:val="Hyperlink"/>
                  <w:rFonts w:ascii="Calibri" w:hAnsi="Calibri" w:cs="Calibri"/>
                  <w:sz w:val="18"/>
                  <w:szCs w:val="18"/>
                </w:rPr>
                <w:t xml:space="preserve">Arendusgrant </w:t>
              </w:r>
            </w:hyperlink>
          </w:p>
          <w:p w14:paraId="17F30708" w14:textId="6C2AE3BC" w:rsidR="0062184A" w:rsidRPr="00AA5854" w:rsidRDefault="0062184A" w:rsidP="0062184A">
            <w:pPr>
              <w:rPr>
                <w:sz w:val="18"/>
                <w:szCs w:val="18"/>
                <w:lang w:val="et-EE"/>
              </w:rPr>
            </w:pPr>
            <w:r w:rsidRPr="00552707">
              <w:rPr>
                <w:color w:val="FF0000"/>
                <w:sz w:val="18"/>
                <w:szCs w:val="18"/>
              </w:rPr>
              <w:t>Taotlemine lõppenud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78E0" w14:textId="35E79CB9" w:rsidR="0062184A" w:rsidRPr="004C400E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Uurimistoetus eksperimentaalarenduseks, et testida ja/või luua eeldusi teadustulemuste kommertsialiseerimiseks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. </w:t>
            </w:r>
            <w:r w:rsidRPr="004C400E"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Taotleda saab </w:t>
            </w:r>
            <w:proofErr w:type="spellStart"/>
            <w:r w:rsidRPr="004C400E"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TA-asutuses</w:t>
            </w:r>
            <w:proofErr w:type="spellEnd"/>
            <w:r w:rsidRPr="004C400E"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 töötav teadlane, aga ettevõtjad saavad olla kaasatud partnerid, eksperdid.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49E2" w14:textId="3BB0110E" w:rsidR="0062184A" w:rsidRPr="000274F4" w:rsidRDefault="0062184A" w:rsidP="0062184A">
            <w:pPr>
              <w:rPr>
                <w:sz w:val="18"/>
                <w:szCs w:val="18"/>
                <w:lang w:val="et-EE"/>
              </w:rPr>
            </w:pPr>
            <w:r w:rsidRPr="000274F4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4EC7" w14:textId="2D3E1C56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100 000</w:t>
            </w:r>
          </w:p>
        </w:tc>
      </w:tr>
      <w:tr w:rsidR="0062184A" w:rsidRPr="00F71550" w14:paraId="492D0A42" w14:textId="51F7BE9A" w:rsidTr="00ED0520">
        <w:trPr>
          <w:cantSplit/>
          <w:trHeight w:val="325"/>
        </w:trPr>
        <w:tc>
          <w:tcPr>
            <w:tcW w:w="386" w:type="dxa"/>
            <w:vMerge w:val="restart"/>
            <w:shd w:val="clear" w:color="auto" w:fill="FBE4D5" w:themeFill="accent2" w:themeFillTint="33"/>
            <w:textDirection w:val="btLr"/>
          </w:tcPr>
          <w:p w14:paraId="69C7A3DB" w14:textId="353859FA" w:rsidR="0062184A" w:rsidRPr="00F71550" w:rsidRDefault="0062184A" w:rsidP="0062184A">
            <w:pPr>
              <w:ind w:left="113" w:right="113"/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Innovatsioon ja arendustegevus</w:t>
            </w:r>
          </w:p>
        </w:tc>
        <w:tc>
          <w:tcPr>
            <w:tcW w:w="8624" w:type="dxa"/>
            <w:gridSpan w:val="4"/>
            <w:shd w:val="clear" w:color="auto" w:fill="FBE4D5" w:themeFill="accent2" w:themeFillTint="33"/>
          </w:tcPr>
          <w:p w14:paraId="2857F270" w14:textId="4154E066" w:rsidR="0062184A" w:rsidRPr="00E51725" w:rsidRDefault="0062184A" w:rsidP="0062184A">
            <w:pPr>
              <w:rPr>
                <w:lang w:val="et-EE"/>
              </w:rPr>
            </w:pPr>
            <w:hyperlink r:id="rId16" w:history="1">
              <w:r w:rsidRPr="007F785B">
                <w:rPr>
                  <w:rStyle w:val="Hyperlink"/>
                  <w:lang w:val="et-EE"/>
                </w:rPr>
                <w:t>Ettevõtluse Arendamise Sihtasutuse</w:t>
              </w:r>
            </w:hyperlink>
            <w:r w:rsidRPr="00B0100B">
              <w:rPr>
                <w:lang w:val="et-EE"/>
              </w:rPr>
              <w:t xml:space="preserve"> (</w:t>
            </w:r>
            <w:r w:rsidRPr="007F785B">
              <w:rPr>
                <w:lang w:val="et-EE"/>
              </w:rPr>
              <w:t>EAS</w:t>
            </w:r>
            <w:r>
              <w:rPr>
                <w:lang w:val="et-EE"/>
              </w:rPr>
              <w:t>)</w:t>
            </w:r>
            <w:r w:rsidRPr="00E51725">
              <w:rPr>
                <w:lang w:val="et-EE"/>
              </w:rPr>
              <w:t xml:space="preserve">/Innovatsiooniagentuuri </w:t>
            </w:r>
            <w:r>
              <w:rPr>
                <w:lang w:val="et-EE"/>
              </w:rPr>
              <w:t xml:space="preserve">koordineeritavad </w:t>
            </w:r>
            <w:r w:rsidRPr="00E51725">
              <w:rPr>
                <w:lang w:val="et-EE"/>
              </w:rPr>
              <w:t>toetused:</w:t>
            </w:r>
          </w:p>
        </w:tc>
      </w:tr>
      <w:tr w:rsidR="0062184A" w:rsidRPr="00F71550" w14:paraId="5EA6D7F2" w14:textId="77777777" w:rsidTr="00ED0520">
        <w:trPr>
          <w:cantSplit/>
          <w:trHeight w:val="571"/>
        </w:trPr>
        <w:tc>
          <w:tcPr>
            <w:tcW w:w="386" w:type="dxa"/>
            <w:vMerge/>
            <w:textDirection w:val="btLr"/>
          </w:tcPr>
          <w:p w14:paraId="0EABD8E9" w14:textId="77777777" w:rsidR="0062184A" w:rsidRPr="00F71550" w:rsidRDefault="0062184A" w:rsidP="0062184A">
            <w:pPr>
              <w:ind w:left="113" w:right="113"/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71AD2388" w14:textId="184BAE13" w:rsidR="0062184A" w:rsidRPr="00DC4F47" w:rsidRDefault="0062184A" w:rsidP="0062184A">
            <w:pPr>
              <w:rPr>
                <w:lang w:val="et-EE"/>
              </w:rPr>
            </w:pPr>
            <w:hyperlink r:id="rId17" w:history="1">
              <w:r w:rsidRPr="00DC4F47">
                <w:rPr>
                  <w:rStyle w:val="Hyperlink"/>
                  <w:sz w:val="18"/>
                  <w:szCs w:val="18"/>
                  <w:lang w:val="et-EE"/>
                </w:rPr>
                <w:t>Rakendusuuringute programm</w:t>
              </w:r>
            </w:hyperlink>
          </w:p>
        </w:tc>
        <w:tc>
          <w:tcPr>
            <w:tcW w:w="3159" w:type="dxa"/>
            <w:vAlign w:val="center"/>
          </w:tcPr>
          <w:p w14:paraId="1A38FDC9" w14:textId="13B4B092" w:rsidR="0062184A" w:rsidRPr="004C400E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A</w:t>
            </w:r>
            <w:r w:rsidRPr="0012161B">
              <w:rPr>
                <w:sz w:val="18"/>
                <w:szCs w:val="18"/>
                <w:lang w:val="et-EE"/>
              </w:rPr>
              <w:t>idata ettevõtetel kasvatada teadus- ja arendustegevuse nõudlust, mille tulemusena suureneb ettevõtjate tulu uutest või oluliselt muudetud tehnoloogiatest, protsessidest, toodetest või teenustest.</w:t>
            </w:r>
          </w:p>
        </w:tc>
        <w:tc>
          <w:tcPr>
            <w:tcW w:w="1843" w:type="dxa"/>
            <w:vAlign w:val="center"/>
          </w:tcPr>
          <w:p w14:paraId="176CD8B8" w14:textId="6164C3FF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23 mln</w:t>
            </w:r>
          </w:p>
        </w:tc>
        <w:tc>
          <w:tcPr>
            <w:tcW w:w="1502" w:type="dxa"/>
            <w:vAlign w:val="center"/>
          </w:tcPr>
          <w:p w14:paraId="45C2D65F" w14:textId="311D23F1" w:rsidR="0062184A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3 mln</w:t>
            </w:r>
          </w:p>
        </w:tc>
      </w:tr>
      <w:tr w:rsidR="0062184A" w:rsidRPr="00F71550" w14:paraId="3A738FAE" w14:textId="50FC7A05" w:rsidTr="00ED0520">
        <w:trPr>
          <w:cantSplit/>
          <w:trHeight w:val="571"/>
        </w:trPr>
        <w:tc>
          <w:tcPr>
            <w:tcW w:w="386" w:type="dxa"/>
            <w:vMerge/>
            <w:textDirection w:val="btLr"/>
          </w:tcPr>
          <w:p w14:paraId="524A7C48" w14:textId="77777777" w:rsidR="0062184A" w:rsidRPr="00F71550" w:rsidRDefault="0062184A" w:rsidP="0062184A">
            <w:pPr>
              <w:ind w:left="113" w:right="113"/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5FEF5CE4" w14:textId="2AE5F090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hyperlink r:id="rId18" w:history="1">
              <w:proofErr w:type="spellStart"/>
              <w:r w:rsidRPr="00F71550">
                <w:rPr>
                  <w:rStyle w:val="Hyperlink"/>
                  <w:sz w:val="18"/>
                  <w:szCs w:val="18"/>
                  <w:lang w:val="et-EE"/>
                </w:rPr>
                <w:t>Tooetarenduse</w:t>
              </w:r>
              <w:proofErr w:type="spellEnd"/>
              <w:r w:rsidRPr="00F71550">
                <w:rPr>
                  <w:rStyle w:val="Hyperlink"/>
                  <w:sz w:val="18"/>
                  <w:szCs w:val="18"/>
                  <w:lang w:val="et-EE"/>
                </w:rPr>
                <w:t xml:space="preserve"> toetus</w:t>
              </w:r>
            </w:hyperlink>
          </w:p>
        </w:tc>
        <w:tc>
          <w:tcPr>
            <w:tcW w:w="3159" w:type="dxa"/>
            <w:vAlign w:val="center"/>
          </w:tcPr>
          <w:p w14:paraId="7CCB8BA3" w14:textId="40FCDB6A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4C400E">
              <w:rPr>
                <w:sz w:val="18"/>
                <w:szCs w:val="18"/>
                <w:lang w:val="et-EE"/>
              </w:rPr>
              <w:t>Toetuse andmise eesmärk on aidata ettevõtjal kasvatada uuest või oluliselt muudetud tootest või teenusest rahvusvahelist müügitulu.</w:t>
            </w:r>
          </w:p>
        </w:tc>
        <w:tc>
          <w:tcPr>
            <w:tcW w:w="1843" w:type="dxa"/>
            <w:vAlign w:val="center"/>
          </w:tcPr>
          <w:p w14:paraId="7D582AEC" w14:textId="09D390D4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>17 mln</w:t>
            </w:r>
          </w:p>
        </w:tc>
        <w:tc>
          <w:tcPr>
            <w:tcW w:w="1502" w:type="dxa"/>
            <w:vAlign w:val="center"/>
          </w:tcPr>
          <w:p w14:paraId="00E1E8AA" w14:textId="53841E5C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500 000</w:t>
            </w:r>
          </w:p>
        </w:tc>
      </w:tr>
      <w:tr w:rsidR="0062184A" w:rsidRPr="00F71550" w14:paraId="141B122B" w14:textId="75A762E0" w:rsidTr="00ED0520">
        <w:trPr>
          <w:cantSplit/>
          <w:trHeight w:val="417"/>
        </w:trPr>
        <w:tc>
          <w:tcPr>
            <w:tcW w:w="386" w:type="dxa"/>
            <w:vMerge/>
            <w:shd w:val="clear" w:color="auto" w:fill="FBE4D5" w:themeFill="accent2" w:themeFillTint="33"/>
            <w:textDirection w:val="btLr"/>
          </w:tcPr>
          <w:p w14:paraId="16F38DEB" w14:textId="77777777" w:rsidR="0062184A" w:rsidRPr="00F71550" w:rsidRDefault="0062184A" w:rsidP="0062184A">
            <w:pPr>
              <w:ind w:left="113" w:right="113"/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7E5BC812" w14:textId="0E8ECA4C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hyperlink r:id="rId19" w:history="1">
              <w:proofErr w:type="spellStart"/>
              <w:r w:rsidRPr="00F71550">
                <w:rPr>
                  <w:rStyle w:val="Hyperlink"/>
                  <w:sz w:val="18"/>
                  <w:szCs w:val="18"/>
                  <w:lang w:val="et-EE"/>
                </w:rPr>
                <w:t>Digidiagnostika</w:t>
              </w:r>
              <w:proofErr w:type="spellEnd"/>
              <w:r w:rsidRPr="00F71550">
                <w:rPr>
                  <w:rStyle w:val="Hyperlink"/>
                  <w:sz w:val="18"/>
                  <w:szCs w:val="18"/>
                  <w:lang w:val="et-EE"/>
                </w:rPr>
                <w:t xml:space="preserve"> toetus</w:t>
              </w:r>
            </w:hyperlink>
          </w:p>
        </w:tc>
        <w:tc>
          <w:tcPr>
            <w:tcW w:w="3159" w:type="dxa"/>
            <w:vAlign w:val="center"/>
          </w:tcPr>
          <w:p w14:paraId="22174DC8" w14:textId="7AA70478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4C400E">
              <w:rPr>
                <w:sz w:val="18"/>
                <w:szCs w:val="18"/>
                <w:lang w:val="et-EE"/>
              </w:rPr>
              <w:t>toetada töötleva tööstuse ja mäetööstuse digitaliseerimise ja automatiseerimise diagnostika koostamist.</w:t>
            </w:r>
          </w:p>
        </w:tc>
        <w:tc>
          <w:tcPr>
            <w:tcW w:w="1843" w:type="dxa"/>
            <w:vAlign w:val="center"/>
          </w:tcPr>
          <w:p w14:paraId="3C5B42B6" w14:textId="33BEF1E0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>1,1 mln</w:t>
            </w:r>
          </w:p>
        </w:tc>
        <w:tc>
          <w:tcPr>
            <w:tcW w:w="1502" w:type="dxa"/>
            <w:vAlign w:val="center"/>
          </w:tcPr>
          <w:p w14:paraId="31891028" w14:textId="56BE09A0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>5</w:t>
            </w:r>
            <w:r>
              <w:rPr>
                <w:sz w:val="18"/>
                <w:szCs w:val="18"/>
                <w:lang w:val="et-EE"/>
              </w:rPr>
              <w:t>000</w:t>
            </w:r>
            <w:r w:rsidRPr="00F71550">
              <w:rPr>
                <w:sz w:val="18"/>
                <w:szCs w:val="18"/>
                <w:lang w:val="et-EE"/>
              </w:rPr>
              <w:t>-15</w:t>
            </w:r>
            <w:r>
              <w:rPr>
                <w:sz w:val="18"/>
                <w:szCs w:val="18"/>
                <w:lang w:val="et-EE"/>
              </w:rPr>
              <w:t xml:space="preserve"> 000</w:t>
            </w:r>
          </w:p>
        </w:tc>
      </w:tr>
      <w:tr w:rsidR="0062184A" w:rsidRPr="00F71550" w14:paraId="7527927E" w14:textId="723D9962" w:rsidTr="00ED0520">
        <w:trPr>
          <w:cantSplit/>
          <w:trHeight w:val="263"/>
        </w:trPr>
        <w:tc>
          <w:tcPr>
            <w:tcW w:w="386" w:type="dxa"/>
            <w:vMerge/>
            <w:textDirection w:val="btLr"/>
          </w:tcPr>
          <w:p w14:paraId="2144DAC1" w14:textId="77777777" w:rsidR="0062184A" w:rsidRPr="00F71550" w:rsidRDefault="0062184A" w:rsidP="0062184A">
            <w:pPr>
              <w:ind w:left="113" w:right="113"/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3FC70463" w14:textId="18982EB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hyperlink r:id="rId20" w:history="1">
              <w:r w:rsidRPr="00F71550">
                <w:rPr>
                  <w:rStyle w:val="Hyperlink"/>
                  <w:sz w:val="18"/>
                  <w:szCs w:val="18"/>
                  <w:lang w:val="et-EE"/>
                </w:rPr>
                <w:t>Suurinvestori toetus</w:t>
              </w:r>
            </w:hyperlink>
          </w:p>
        </w:tc>
        <w:tc>
          <w:tcPr>
            <w:tcW w:w="3159" w:type="dxa"/>
            <w:vAlign w:val="center"/>
          </w:tcPr>
          <w:p w14:paraId="51002B25" w14:textId="1ECF9A4F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4C400E">
              <w:rPr>
                <w:sz w:val="18"/>
                <w:szCs w:val="18"/>
                <w:lang w:val="et-EE"/>
              </w:rPr>
              <w:t>suunata töötleva tööstuse sektorisse investeeringuid, mis toetavad ettevõtja poolt kõrgema lisandväärtuse loomist ning ettevõtja rahvusvahelise konkurentsivõime kasvu</w:t>
            </w:r>
          </w:p>
        </w:tc>
        <w:tc>
          <w:tcPr>
            <w:tcW w:w="1843" w:type="dxa"/>
            <w:vAlign w:val="center"/>
          </w:tcPr>
          <w:p w14:paraId="7D0648E6" w14:textId="0500180B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4032300D" w14:textId="67E3AE98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>1 mln</w:t>
            </w:r>
          </w:p>
        </w:tc>
      </w:tr>
      <w:tr w:rsidR="0062184A" w:rsidRPr="00F71550" w14:paraId="4613102F" w14:textId="606A287B" w:rsidTr="00ED0520">
        <w:trPr>
          <w:cantSplit/>
          <w:trHeight w:val="109"/>
        </w:trPr>
        <w:tc>
          <w:tcPr>
            <w:tcW w:w="386" w:type="dxa"/>
            <w:vMerge/>
            <w:shd w:val="clear" w:color="auto" w:fill="FBE4D5" w:themeFill="accent2" w:themeFillTint="33"/>
            <w:textDirection w:val="btLr"/>
          </w:tcPr>
          <w:p w14:paraId="433BE43D" w14:textId="77777777" w:rsidR="0062184A" w:rsidRPr="00F71550" w:rsidRDefault="0062184A" w:rsidP="0062184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0A2BDE31" w14:textId="6988E166" w:rsidR="0062184A" w:rsidRPr="00F71550" w:rsidRDefault="0062184A" w:rsidP="0062184A">
            <w:pPr>
              <w:rPr>
                <w:sz w:val="18"/>
                <w:szCs w:val="18"/>
              </w:rPr>
            </w:pPr>
            <w:hyperlink r:id="rId21" w:history="1">
              <w:r w:rsidRPr="00F71550">
                <w:rPr>
                  <w:rStyle w:val="Hyperlink"/>
                  <w:sz w:val="18"/>
                  <w:szCs w:val="18"/>
                </w:rPr>
                <w:t>Tugiteenus- ja arenduskeskuste toetus</w:t>
              </w:r>
            </w:hyperlink>
          </w:p>
        </w:tc>
        <w:tc>
          <w:tcPr>
            <w:tcW w:w="3159" w:type="dxa"/>
            <w:vAlign w:val="center"/>
          </w:tcPr>
          <w:p w14:paraId="4FF7BF5D" w14:textId="17E32C72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0555D2">
              <w:rPr>
                <w:sz w:val="18"/>
                <w:szCs w:val="18"/>
                <w:lang w:val="et-EE"/>
              </w:rPr>
              <w:t>ettevõtja pikaajalisel strateegilisel planeerimisel põhineva rahvusvahelise konkurentsivõime tõstmine Eestis alustava ja laieneva tugiteenus- ning arenduskeskuse tegevuse kaudu.</w:t>
            </w:r>
          </w:p>
        </w:tc>
        <w:tc>
          <w:tcPr>
            <w:tcW w:w="1843" w:type="dxa"/>
            <w:vAlign w:val="center"/>
          </w:tcPr>
          <w:p w14:paraId="1FDEEC11" w14:textId="355B0E50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 xml:space="preserve">3,5 </w:t>
            </w:r>
            <w:r w:rsidRPr="00F71550">
              <w:rPr>
                <w:sz w:val="18"/>
                <w:szCs w:val="18"/>
                <w:lang w:val="et-EE"/>
              </w:rPr>
              <w:t>mln</w:t>
            </w:r>
          </w:p>
        </w:tc>
        <w:tc>
          <w:tcPr>
            <w:tcW w:w="1502" w:type="dxa"/>
            <w:vAlign w:val="center"/>
          </w:tcPr>
          <w:p w14:paraId="639FD4A4" w14:textId="721425BA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200 000</w:t>
            </w:r>
          </w:p>
        </w:tc>
      </w:tr>
      <w:tr w:rsidR="0062184A" w:rsidRPr="00F71550" w14:paraId="1DB32EFA" w14:textId="05AD8F3E" w:rsidTr="00ED0520">
        <w:trPr>
          <w:cantSplit/>
          <w:trHeight w:val="57"/>
        </w:trPr>
        <w:tc>
          <w:tcPr>
            <w:tcW w:w="386" w:type="dxa"/>
            <w:vMerge/>
            <w:textDirection w:val="btLr"/>
          </w:tcPr>
          <w:p w14:paraId="54F26655" w14:textId="77777777" w:rsidR="0062184A" w:rsidRPr="00F71550" w:rsidRDefault="0062184A" w:rsidP="0062184A">
            <w:pPr>
              <w:ind w:left="113" w:right="113"/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6460A3E7" w14:textId="6BAFDE5C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hyperlink r:id="rId22" w:history="1">
              <w:r w:rsidRPr="00F71550">
                <w:rPr>
                  <w:rStyle w:val="Hyperlink"/>
                  <w:sz w:val="18"/>
                  <w:szCs w:val="18"/>
                  <w:lang w:val="et-EE"/>
                </w:rPr>
                <w:t>Arendusosak</w:t>
              </w:r>
            </w:hyperlink>
            <w:r w:rsidRPr="00F71550">
              <w:rPr>
                <w:sz w:val="18"/>
                <w:szCs w:val="18"/>
                <w:lang w:val="et-EE"/>
              </w:rPr>
              <w:t xml:space="preserve"> </w:t>
            </w:r>
          </w:p>
        </w:tc>
        <w:tc>
          <w:tcPr>
            <w:tcW w:w="3159" w:type="dxa"/>
            <w:vAlign w:val="center"/>
          </w:tcPr>
          <w:p w14:paraId="6A7CC409" w14:textId="771C075A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0555D2">
              <w:rPr>
                <w:sz w:val="18"/>
                <w:szCs w:val="18"/>
                <w:lang w:val="et-EE"/>
              </w:rPr>
              <w:t xml:space="preserve">Toetuse andmise eesmärk on VKE konkurentsivõime suurendamine uuenduslike ja kõrgema lisandväärtusega toodete, teenuste ja tehnoloogiate väljatöötamise kaudu. </w:t>
            </w:r>
          </w:p>
        </w:tc>
        <w:tc>
          <w:tcPr>
            <w:tcW w:w="1843" w:type="dxa"/>
            <w:vAlign w:val="center"/>
          </w:tcPr>
          <w:p w14:paraId="019A7626" w14:textId="53283691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>6 mln</w:t>
            </w:r>
          </w:p>
        </w:tc>
        <w:tc>
          <w:tcPr>
            <w:tcW w:w="1502" w:type="dxa"/>
            <w:vAlign w:val="center"/>
          </w:tcPr>
          <w:p w14:paraId="6E5CF412" w14:textId="2ABE8369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 xml:space="preserve">35 </w:t>
            </w:r>
            <w:r>
              <w:rPr>
                <w:sz w:val="18"/>
                <w:szCs w:val="18"/>
                <w:lang w:val="et-EE"/>
              </w:rPr>
              <w:t>000</w:t>
            </w:r>
          </w:p>
        </w:tc>
      </w:tr>
      <w:tr w:rsidR="0062184A" w:rsidRPr="00F71550" w14:paraId="0EEE0D07" w14:textId="4481A8DC" w:rsidTr="00ED0520">
        <w:trPr>
          <w:cantSplit/>
          <w:trHeight w:val="391"/>
        </w:trPr>
        <w:tc>
          <w:tcPr>
            <w:tcW w:w="386" w:type="dxa"/>
            <w:vMerge/>
            <w:shd w:val="clear" w:color="auto" w:fill="FBE4D5" w:themeFill="accent2" w:themeFillTint="33"/>
            <w:textDirection w:val="btLr"/>
          </w:tcPr>
          <w:p w14:paraId="16948E84" w14:textId="77777777" w:rsidR="0062184A" w:rsidRPr="00F71550" w:rsidRDefault="0062184A" w:rsidP="0062184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7D86FBA8" w14:textId="3C4DFAA0" w:rsidR="0062184A" w:rsidRPr="00F71550" w:rsidRDefault="0062184A" w:rsidP="0062184A">
            <w:pPr>
              <w:rPr>
                <w:sz w:val="18"/>
                <w:szCs w:val="18"/>
              </w:rPr>
            </w:pPr>
            <w:hyperlink r:id="rId23" w:history="1">
              <w:r w:rsidRPr="00F71550">
                <w:rPr>
                  <w:rStyle w:val="Hyperlink"/>
                  <w:sz w:val="18"/>
                  <w:szCs w:val="18"/>
                </w:rPr>
                <w:t>Välisvärbamise toetus</w:t>
              </w:r>
            </w:hyperlink>
            <w:r w:rsidRPr="00F71550">
              <w:rPr>
                <w:sz w:val="18"/>
                <w:szCs w:val="18"/>
                <w:lang w:val="et-EE"/>
              </w:rPr>
              <w:t xml:space="preserve"> </w:t>
            </w:r>
          </w:p>
        </w:tc>
        <w:tc>
          <w:tcPr>
            <w:tcW w:w="3159" w:type="dxa"/>
            <w:vAlign w:val="center"/>
          </w:tcPr>
          <w:p w14:paraId="3E7165FA" w14:textId="379F1750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>Välisriigist IKT ning loodus- ja tehnikateaduste tippspetsialistide värbamine</w:t>
            </w:r>
          </w:p>
        </w:tc>
        <w:tc>
          <w:tcPr>
            <w:tcW w:w="1843" w:type="dxa"/>
            <w:vAlign w:val="center"/>
          </w:tcPr>
          <w:p w14:paraId="0A76E9A5" w14:textId="6E1CFD68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>4 mln</w:t>
            </w:r>
          </w:p>
        </w:tc>
        <w:tc>
          <w:tcPr>
            <w:tcW w:w="1502" w:type="dxa"/>
            <w:vAlign w:val="center"/>
          </w:tcPr>
          <w:p w14:paraId="3D37D797" w14:textId="360D4089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>3</w:t>
            </w:r>
            <w:r>
              <w:rPr>
                <w:sz w:val="18"/>
                <w:szCs w:val="18"/>
                <w:lang w:val="et-EE"/>
              </w:rPr>
              <w:t>000</w:t>
            </w:r>
          </w:p>
        </w:tc>
      </w:tr>
      <w:tr w:rsidR="0062184A" w:rsidRPr="00F71550" w14:paraId="2B5458B2" w14:textId="22568344" w:rsidTr="00ED0520">
        <w:trPr>
          <w:cantSplit/>
          <w:trHeight w:val="1134"/>
        </w:trPr>
        <w:tc>
          <w:tcPr>
            <w:tcW w:w="386" w:type="dxa"/>
            <w:vMerge/>
            <w:shd w:val="clear" w:color="auto" w:fill="FBE4D5" w:themeFill="accent2" w:themeFillTint="33"/>
            <w:textDirection w:val="btLr"/>
          </w:tcPr>
          <w:p w14:paraId="24B63754" w14:textId="77777777" w:rsidR="0062184A" w:rsidRPr="00F71550" w:rsidRDefault="0062184A" w:rsidP="0062184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840C4CC" w14:textId="5C2C25E2" w:rsidR="0062184A" w:rsidRPr="00F71550" w:rsidRDefault="0062184A" w:rsidP="0062184A">
            <w:pPr>
              <w:rPr>
                <w:sz w:val="18"/>
                <w:szCs w:val="18"/>
              </w:rPr>
            </w:pPr>
            <w:hyperlink r:id="rId24" w:history="1">
              <w:r w:rsidRPr="00F71550">
                <w:rPr>
                  <w:rStyle w:val="Hyperlink"/>
                  <w:sz w:val="18"/>
                  <w:szCs w:val="18"/>
                </w:rPr>
                <w:t>Innovatsiooniosak</w:t>
              </w:r>
            </w:hyperlink>
          </w:p>
        </w:tc>
        <w:tc>
          <w:tcPr>
            <w:tcW w:w="3159" w:type="dxa"/>
            <w:vAlign w:val="center"/>
          </w:tcPr>
          <w:p w14:paraId="47CAB993" w14:textId="4DF7DBBA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>VKE toetamine, et koostöös teadusasustuste, katselaborite või intellektuaalomandi ekspertidega töötada välja innovaatilisi lahendusi arengutakistustele</w:t>
            </w:r>
          </w:p>
        </w:tc>
        <w:tc>
          <w:tcPr>
            <w:tcW w:w="1843" w:type="dxa"/>
            <w:vAlign w:val="center"/>
          </w:tcPr>
          <w:p w14:paraId="33610046" w14:textId="4ECFB4F4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>4 mln</w:t>
            </w:r>
          </w:p>
        </w:tc>
        <w:tc>
          <w:tcPr>
            <w:tcW w:w="1502" w:type="dxa"/>
            <w:vAlign w:val="center"/>
          </w:tcPr>
          <w:p w14:paraId="6BF67F26" w14:textId="6408CE06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>6</w:t>
            </w:r>
            <w:r>
              <w:rPr>
                <w:sz w:val="18"/>
                <w:szCs w:val="18"/>
                <w:lang w:val="et-EE"/>
              </w:rPr>
              <w:t>000</w:t>
            </w:r>
          </w:p>
        </w:tc>
      </w:tr>
      <w:tr w:rsidR="0062184A" w:rsidRPr="00F71550" w14:paraId="20046342" w14:textId="6A78BE87" w:rsidTr="00ED0520">
        <w:trPr>
          <w:cantSplit/>
          <w:trHeight w:val="83"/>
        </w:trPr>
        <w:tc>
          <w:tcPr>
            <w:tcW w:w="386" w:type="dxa"/>
            <w:vMerge/>
            <w:textDirection w:val="btLr"/>
          </w:tcPr>
          <w:p w14:paraId="1AB30A1B" w14:textId="77777777" w:rsidR="0062184A" w:rsidRPr="00F71550" w:rsidRDefault="0062184A" w:rsidP="0062184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DDB6148" w14:textId="7D755E63" w:rsidR="0062184A" w:rsidRPr="00F71550" w:rsidRDefault="0062184A" w:rsidP="0062184A">
            <w:pPr>
              <w:rPr>
                <w:sz w:val="18"/>
                <w:szCs w:val="18"/>
              </w:rPr>
            </w:pPr>
            <w:hyperlink r:id="rId25" w:history="1">
              <w:r w:rsidRPr="00F71550">
                <w:rPr>
                  <w:rStyle w:val="Hyperlink"/>
                  <w:sz w:val="18"/>
                  <w:szCs w:val="18"/>
                </w:rPr>
                <w:t>Ettevõtte arenguprogramm</w:t>
              </w:r>
            </w:hyperlink>
          </w:p>
        </w:tc>
        <w:tc>
          <w:tcPr>
            <w:tcW w:w="3159" w:type="dxa"/>
            <w:vAlign w:val="center"/>
          </w:tcPr>
          <w:p w14:paraId="442FDEF9" w14:textId="71A66922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>Toetada tootearendust ja selle planeerimist ettevõtetes</w:t>
            </w:r>
            <w:r>
              <w:rPr>
                <w:sz w:val="18"/>
                <w:szCs w:val="18"/>
                <w:lang w:val="et-EE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14:paraId="705C4D0A" w14:textId="462D42FC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F71550">
              <w:rPr>
                <w:sz w:val="18"/>
                <w:szCs w:val="18"/>
                <w:lang w:val="et-EE"/>
              </w:rPr>
              <w:t>63 mln</w:t>
            </w:r>
          </w:p>
        </w:tc>
        <w:tc>
          <w:tcPr>
            <w:tcW w:w="1502" w:type="dxa"/>
            <w:vAlign w:val="center"/>
          </w:tcPr>
          <w:p w14:paraId="35322646" w14:textId="1E239955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500 000</w:t>
            </w:r>
          </w:p>
        </w:tc>
      </w:tr>
      <w:tr w:rsidR="0062184A" w:rsidRPr="00F71550" w14:paraId="0C56945C" w14:textId="77777777" w:rsidTr="00ED0520">
        <w:trPr>
          <w:cantSplit/>
          <w:trHeight w:val="83"/>
        </w:trPr>
        <w:tc>
          <w:tcPr>
            <w:tcW w:w="386" w:type="dxa"/>
            <w:vMerge/>
            <w:shd w:val="clear" w:color="auto" w:fill="FBE4D5" w:themeFill="accent2" w:themeFillTint="33"/>
            <w:textDirection w:val="btLr"/>
          </w:tcPr>
          <w:p w14:paraId="54B1F63B" w14:textId="77777777" w:rsidR="0062184A" w:rsidRPr="00F71550" w:rsidRDefault="0062184A" w:rsidP="0062184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4B9336C9" w14:textId="77777777" w:rsidR="0062184A" w:rsidRDefault="0062184A" w:rsidP="0062184A">
            <w:pPr>
              <w:rPr>
                <w:sz w:val="18"/>
                <w:szCs w:val="18"/>
              </w:rPr>
            </w:pPr>
            <w:hyperlink r:id="rId26" w:history="1">
              <w:r w:rsidRPr="000555D2">
                <w:rPr>
                  <w:rStyle w:val="Hyperlink"/>
                  <w:sz w:val="18"/>
                  <w:szCs w:val="18"/>
                </w:rPr>
                <w:t>Eesti – Norra koostööprogramm Green ICT</w:t>
              </w:r>
            </w:hyperlink>
          </w:p>
          <w:p w14:paraId="4A4021DB" w14:textId="7A4AD65D" w:rsidR="0062184A" w:rsidRPr="000555D2" w:rsidRDefault="0062184A" w:rsidP="0062184A">
            <w:pPr>
              <w:rPr>
                <w:lang w:val="et-EE"/>
              </w:rPr>
            </w:pPr>
            <w:r w:rsidRPr="000555D2">
              <w:rPr>
                <w:color w:val="FF0000"/>
                <w:sz w:val="18"/>
                <w:szCs w:val="18"/>
                <w:lang w:val="et-EE"/>
              </w:rPr>
              <w:t>Taotlemine mitmes voorus</w:t>
            </w:r>
          </w:p>
        </w:tc>
        <w:tc>
          <w:tcPr>
            <w:tcW w:w="3159" w:type="dxa"/>
            <w:vAlign w:val="center"/>
          </w:tcPr>
          <w:p w14:paraId="195FA208" w14:textId="01C10274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0555D2">
              <w:rPr>
                <w:sz w:val="18"/>
                <w:szCs w:val="18"/>
                <w:lang w:val="et-EE"/>
              </w:rPr>
              <w:t xml:space="preserve">Eesti ja Norra innovatsioonialase ärikoostöö suurendamine ning ettevõtete lisandväärtuse kasv ressursisäästu edendavate projektide abil. </w:t>
            </w:r>
            <w:r>
              <w:rPr>
                <w:sz w:val="18"/>
                <w:szCs w:val="18"/>
                <w:lang w:val="et-EE"/>
              </w:rPr>
              <w:t>V</w:t>
            </w:r>
            <w:r w:rsidRPr="000555D2">
              <w:rPr>
                <w:sz w:val="18"/>
                <w:szCs w:val="18"/>
                <w:lang w:val="et-EE"/>
              </w:rPr>
              <w:t>aldkonna</w:t>
            </w:r>
            <w:r>
              <w:rPr>
                <w:sz w:val="18"/>
                <w:szCs w:val="18"/>
                <w:lang w:val="et-EE"/>
              </w:rPr>
              <w:t>d</w:t>
            </w:r>
            <w:r w:rsidRPr="000555D2">
              <w:rPr>
                <w:sz w:val="18"/>
                <w:szCs w:val="18"/>
                <w:lang w:val="et-EE"/>
              </w:rPr>
              <w:t>: tööstus ja rohetehnoloogiad, IKT ja tervisetehnoloogiad</w:t>
            </w:r>
            <w:r>
              <w:rPr>
                <w:sz w:val="18"/>
                <w:szCs w:val="18"/>
                <w:lang w:val="et-EE"/>
              </w:rPr>
              <w:t>.</w:t>
            </w:r>
          </w:p>
        </w:tc>
        <w:tc>
          <w:tcPr>
            <w:tcW w:w="1843" w:type="dxa"/>
            <w:vAlign w:val="center"/>
          </w:tcPr>
          <w:p w14:paraId="04D7CDB9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65FBEA40" w14:textId="77777777" w:rsidR="0062184A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</w:tr>
      <w:tr w:rsidR="0062184A" w:rsidRPr="00F71550" w14:paraId="2649F42A" w14:textId="77777777" w:rsidTr="00ED0520">
        <w:trPr>
          <w:cantSplit/>
          <w:trHeight w:val="83"/>
        </w:trPr>
        <w:tc>
          <w:tcPr>
            <w:tcW w:w="386" w:type="dxa"/>
            <w:vMerge/>
            <w:textDirection w:val="btLr"/>
          </w:tcPr>
          <w:p w14:paraId="7086519B" w14:textId="77777777" w:rsidR="0062184A" w:rsidRPr="00F71550" w:rsidRDefault="0062184A" w:rsidP="0062184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637BE17A" w14:textId="77777777" w:rsidR="0062184A" w:rsidRDefault="0062184A" w:rsidP="0062184A">
            <w:pPr>
              <w:rPr>
                <w:sz w:val="18"/>
                <w:szCs w:val="18"/>
              </w:rPr>
            </w:pPr>
            <w:hyperlink r:id="rId27" w:history="1">
              <w:r w:rsidRPr="000555D2">
                <w:rPr>
                  <w:rStyle w:val="Hyperlink"/>
                  <w:sz w:val="18"/>
                  <w:szCs w:val="18"/>
                </w:rPr>
                <w:t>Tootearendustoetus Eurostars</w:t>
              </w:r>
            </w:hyperlink>
          </w:p>
          <w:p w14:paraId="6BF58C62" w14:textId="340AA18B" w:rsidR="0062184A" w:rsidRDefault="0062184A" w:rsidP="0062184A">
            <w:r w:rsidRPr="00543AB0">
              <w:rPr>
                <w:color w:val="FF0000"/>
                <w:sz w:val="18"/>
                <w:szCs w:val="18"/>
              </w:rPr>
              <w:t>Taotlemine mitmes voorus</w:t>
            </w:r>
          </w:p>
        </w:tc>
        <w:tc>
          <w:tcPr>
            <w:tcW w:w="3159" w:type="dxa"/>
            <w:vAlign w:val="center"/>
          </w:tcPr>
          <w:p w14:paraId="46178D27" w14:textId="443FDB08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V</w:t>
            </w:r>
            <w:r w:rsidRPr="000555D2">
              <w:rPr>
                <w:sz w:val="18"/>
                <w:szCs w:val="18"/>
                <w:lang w:val="et-EE"/>
              </w:rPr>
              <w:t>äikese- ja keskmise suurusega ettevõtete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Pr="000555D2">
              <w:rPr>
                <w:sz w:val="18"/>
                <w:szCs w:val="18"/>
                <w:lang w:val="et-EE"/>
              </w:rPr>
              <w:t>riikidevaheli</w:t>
            </w:r>
            <w:r>
              <w:rPr>
                <w:sz w:val="18"/>
                <w:szCs w:val="18"/>
                <w:lang w:val="et-EE"/>
              </w:rPr>
              <w:t>ne</w:t>
            </w:r>
            <w:r w:rsidRPr="000555D2">
              <w:rPr>
                <w:sz w:val="18"/>
                <w:szCs w:val="18"/>
                <w:lang w:val="et-EE"/>
              </w:rPr>
              <w:t xml:space="preserve"> teadus- ja arenduskoostööl põhinev tootearendus</w:t>
            </w:r>
            <w:r>
              <w:rPr>
                <w:sz w:val="18"/>
                <w:szCs w:val="18"/>
                <w:lang w:val="et-EE"/>
              </w:rPr>
              <w:t>.</w:t>
            </w:r>
          </w:p>
        </w:tc>
        <w:tc>
          <w:tcPr>
            <w:tcW w:w="1843" w:type="dxa"/>
            <w:vAlign w:val="center"/>
          </w:tcPr>
          <w:p w14:paraId="108EED42" w14:textId="373C6CE3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2,5 mln</w:t>
            </w:r>
          </w:p>
        </w:tc>
        <w:tc>
          <w:tcPr>
            <w:tcW w:w="1502" w:type="dxa"/>
            <w:vAlign w:val="center"/>
          </w:tcPr>
          <w:p w14:paraId="5630B985" w14:textId="20255FB1" w:rsidR="0062184A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300 000</w:t>
            </w:r>
          </w:p>
        </w:tc>
      </w:tr>
      <w:tr w:rsidR="0062184A" w:rsidRPr="00F71550" w14:paraId="0F541E23" w14:textId="77777777" w:rsidTr="00ED0520">
        <w:tc>
          <w:tcPr>
            <w:tcW w:w="386" w:type="dxa"/>
            <w:vMerge w:val="restart"/>
            <w:shd w:val="clear" w:color="auto" w:fill="EDEDED" w:themeFill="accent3" w:themeFillTint="33"/>
            <w:textDirection w:val="btLr"/>
          </w:tcPr>
          <w:p w14:paraId="6FAAD7D4" w14:textId="51170B2A" w:rsidR="0062184A" w:rsidRPr="00F71550" w:rsidRDefault="0062184A" w:rsidP="0062184A">
            <w:pPr>
              <w:ind w:left="113" w:right="113"/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Laenud ja investeeringud</w:t>
            </w:r>
          </w:p>
        </w:tc>
        <w:tc>
          <w:tcPr>
            <w:tcW w:w="8624" w:type="dxa"/>
            <w:gridSpan w:val="4"/>
            <w:shd w:val="clear" w:color="auto" w:fill="EDEDED" w:themeFill="accent3" w:themeFillTint="33"/>
            <w:vAlign w:val="center"/>
          </w:tcPr>
          <w:p w14:paraId="0A0C2780" w14:textId="08C163BE" w:rsidR="0062184A" w:rsidRPr="008854C6" w:rsidRDefault="0062184A" w:rsidP="0062184A">
            <w:pPr>
              <w:rPr>
                <w:lang w:val="et-EE"/>
              </w:rPr>
            </w:pPr>
            <w:hyperlink r:id="rId28" w:history="1">
              <w:proofErr w:type="spellStart"/>
              <w:r w:rsidRPr="007F785B">
                <w:rPr>
                  <w:rStyle w:val="Hyperlink"/>
                  <w:lang w:val="et-EE"/>
                </w:rPr>
                <w:t>Kredex</w:t>
              </w:r>
              <w:proofErr w:type="spellEnd"/>
            </w:hyperlink>
            <w:r>
              <w:rPr>
                <w:lang w:val="et-EE"/>
              </w:rPr>
              <w:t xml:space="preserve"> </w:t>
            </w:r>
            <w:r w:rsidRPr="008854C6">
              <w:rPr>
                <w:lang w:val="et-EE"/>
              </w:rPr>
              <w:t>toetused ja teenused</w:t>
            </w:r>
            <w:r>
              <w:rPr>
                <w:lang w:val="et-EE"/>
              </w:rPr>
              <w:t>:</w:t>
            </w:r>
          </w:p>
        </w:tc>
      </w:tr>
      <w:tr w:rsidR="0062184A" w:rsidRPr="00F71550" w14:paraId="0053A752" w14:textId="3ABDF0D6" w:rsidTr="00ED0520">
        <w:tc>
          <w:tcPr>
            <w:tcW w:w="386" w:type="dxa"/>
            <w:vMerge/>
            <w:shd w:val="clear" w:color="auto" w:fill="EDEDED" w:themeFill="accent3" w:themeFillTint="33"/>
          </w:tcPr>
          <w:p w14:paraId="66F245A3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0EACCB92" w14:textId="10D40748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hyperlink r:id="rId29" w:history="1">
              <w:r w:rsidRPr="00E0065F">
                <w:rPr>
                  <w:rStyle w:val="Hyperlink"/>
                  <w:sz w:val="18"/>
                  <w:szCs w:val="18"/>
                  <w:lang w:val="et-EE"/>
                </w:rPr>
                <w:t>Laenukäendus</w:t>
              </w:r>
            </w:hyperlink>
            <w:r>
              <w:rPr>
                <w:sz w:val="18"/>
                <w:szCs w:val="18"/>
                <w:lang w:val="et-EE"/>
              </w:rPr>
              <w:t xml:space="preserve"> </w:t>
            </w:r>
          </w:p>
        </w:tc>
        <w:tc>
          <w:tcPr>
            <w:tcW w:w="3159" w:type="dxa"/>
            <w:vAlign w:val="center"/>
          </w:tcPr>
          <w:p w14:paraId="160A5744" w14:textId="7DEB8768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Laenude käendus</w:t>
            </w:r>
          </w:p>
        </w:tc>
        <w:tc>
          <w:tcPr>
            <w:tcW w:w="1843" w:type="dxa"/>
            <w:vAlign w:val="center"/>
          </w:tcPr>
          <w:p w14:paraId="30D5420D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23CD0F4C" w14:textId="29800A3B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5 mln</w:t>
            </w:r>
          </w:p>
        </w:tc>
      </w:tr>
      <w:tr w:rsidR="0062184A" w:rsidRPr="00F71550" w14:paraId="7CD8F756" w14:textId="0CD08A03" w:rsidTr="00ED0520">
        <w:tc>
          <w:tcPr>
            <w:tcW w:w="386" w:type="dxa"/>
            <w:vMerge/>
            <w:shd w:val="clear" w:color="auto" w:fill="EDEDED" w:themeFill="accent3" w:themeFillTint="33"/>
          </w:tcPr>
          <w:p w14:paraId="30017815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2446A9EA" w14:textId="0BA89B02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hyperlink r:id="rId30" w:history="1">
              <w:r w:rsidRPr="00E0065F">
                <w:rPr>
                  <w:rStyle w:val="Hyperlink"/>
                  <w:sz w:val="18"/>
                  <w:szCs w:val="18"/>
                  <w:lang w:val="et-EE"/>
                </w:rPr>
                <w:t>Tööstuslaen</w:t>
              </w:r>
            </w:hyperlink>
          </w:p>
        </w:tc>
        <w:tc>
          <w:tcPr>
            <w:tcW w:w="3159" w:type="dxa"/>
            <w:vAlign w:val="center"/>
          </w:tcPr>
          <w:p w14:paraId="45F14788" w14:textId="6F1C4258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Investeerimiseks võetud laenu omafinantseeringu katmiseks</w:t>
            </w:r>
          </w:p>
        </w:tc>
        <w:tc>
          <w:tcPr>
            <w:tcW w:w="1843" w:type="dxa"/>
            <w:vAlign w:val="center"/>
          </w:tcPr>
          <w:p w14:paraId="69C6708E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374B5FCB" w14:textId="5AE6F03D" w:rsidR="0062184A" w:rsidRPr="00F71550" w:rsidRDefault="0062184A" w:rsidP="0062184A">
            <w:pPr>
              <w:ind w:left="-2" w:firstLine="2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2 mln</w:t>
            </w:r>
          </w:p>
        </w:tc>
      </w:tr>
      <w:tr w:rsidR="0062184A" w:rsidRPr="00F71550" w14:paraId="40A2A14D" w14:textId="77777777" w:rsidTr="00ED0520">
        <w:tc>
          <w:tcPr>
            <w:tcW w:w="386" w:type="dxa"/>
            <w:vMerge/>
            <w:shd w:val="clear" w:color="auto" w:fill="EDEDED" w:themeFill="accent3" w:themeFillTint="33"/>
          </w:tcPr>
          <w:p w14:paraId="271A0551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2C4AB757" w14:textId="78027E6C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hyperlink r:id="rId31" w:history="1">
              <w:r w:rsidRPr="00E0065F">
                <w:rPr>
                  <w:rStyle w:val="Hyperlink"/>
                  <w:sz w:val="18"/>
                  <w:szCs w:val="18"/>
                  <w:lang w:val="et-EE"/>
                </w:rPr>
                <w:t>Kapitalilaen</w:t>
              </w:r>
            </w:hyperlink>
          </w:p>
        </w:tc>
        <w:tc>
          <w:tcPr>
            <w:tcW w:w="3159" w:type="dxa"/>
            <w:vAlign w:val="center"/>
          </w:tcPr>
          <w:p w14:paraId="49683FF3" w14:textId="1816B00B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Omafinantseeringu katmiseks</w:t>
            </w:r>
          </w:p>
        </w:tc>
        <w:tc>
          <w:tcPr>
            <w:tcW w:w="1843" w:type="dxa"/>
            <w:vAlign w:val="center"/>
          </w:tcPr>
          <w:p w14:paraId="3F6A21B9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659C84E1" w14:textId="739C1BB0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2 mln</w:t>
            </w:r>
          </w:p>
        </w:tc>
      </w:tr>
      <w:tr w:rsidR="0062184A" w:rsidRPr="00F71550" w14:paraId="5F13BCC3" w14:textId="77777777" w:rsidTr="00ED0520">
        <w:tc>
          <w:tcPr>
            <w:tcW w:w="386" w:type="dxa"/>
            <w:vMerge/>
            <w:shd w:val="clear" w:color="auto" w:fill="EDEDED" w:themeFill="accent3" w:themeFillTint="33"/>
          </w:tcPr>
          <w:p w14:paraId="43D3D910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313B055E" w14:textId="41080514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hyperlink r:id="rId32" w:history="1">
              <w:r w:rsidRPr="009430B6">
                <w:rPr>
                  <w:rStyle w:val="Hyperlink"/>
                  <w:sz w:val="18"/>
                  <w:szCs w:val="18"/>
                  <w:lang w:val="et-EE"/>
                </w:rPr>
                <w:t>Era- ja riskikapitalifondid</w:t>
              </w:r>
            </w:hyperlink>
          </w:p>
        </w:tc>
        <w:tc>
          <w:tcPr>
            <w:tcW w:w="3159" w:type="dxa"/>
            <w:vAlign w:val="center"/>
          </w:tcPr>
          <w:p w14:paraId="4049B6B9" w14:textId="625E75E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 xml:space="preserve">Era- ja riskikapitali vahendamine </w:t>
            </w:r>
          </w:p>
        </w:tc>
        <w:tc>
          <w:tcPr>
            <w:tcW w:w="1843" w:type="dxa"/>
            <w:vAlign w:val="center"/>
          </w:tcPr>
          <w:p w14:paraId="66F3AD4C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2D4C3180" w14:textId="0680094C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0,5-15 mln</w:t>
            </w:r>
          </w:p>
        </w:tc>
      </w:tr>
      <w:tr w:rsidR="0062184A" w:rsidRPr="00F71550" w14:paraId="09B65B15" w14:textId="77777777" w:rsidTr="00ED0520">
        <w:tc>
          <w:tcPr>
            <w:tcW w:w="386" w:type="dxa"/>
            <w:vMerge/>
            <w:shd w:val="clear" w:color="auto" w:fill="EDEDED" w:themeFill="accent3" w:themeFillTint="33"/>
          </w:tcPr>
          <w:p w14:paraId="133D66B3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35999D0C" w14:textId="7B4B75BF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hyperlink r:id="rId33" w:history="1">
              <w:proofErr w:type="spellStart"/>
              <w:r w:rsidRPr="009430B6">
                <w:rPr>
                  <w:rStyle w:val="Hyperlink"/>
                  <w:sz w:val="18"/>
                  <w:szCs w:val="18"/>
                  <w:lang w:val="et-EE"/>
                </w:rPr>
                <w:t>StartupEstonia</w:t>
              </w:r>
              <w:proofErr w:type="spellEnd"/>
            </w:hyperlink>
          </w:p>
        </w:tc>
        <w:tc>
          <w:tcPr>
            <w:tcW w:w="3159" w:type="dxa"/>
            <w:vAlign w:val="center"/>
          </w:tcPr>
          <w:p w14:paraId="612A9BCA" w14:textId="4750C67F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 xml:space="preserve">Abi idufirmade </w:t>
            </w:r>
            <w:proofErr w:type="spellStart"/>
            <w:r>
              <w:rPr>
                <w:sz w:val="18"/>
                <w:szCs w:val="18"/>
                <w:lang w:val="et-EE"/>
              </w:rPr>
              <w:t>rahastuse</w:t>
            </w:r>
            <w:proofErr w:type="spellEnd"/>
            <w:r>
              <w:rPr>
                <w:sz w:val="18"/>
                <w:szCs w:val="18"/>
                <w:lang w:val="et-EE"/>
              </w:rPr>
              <w:t xml:space="preserve"> leidmisel</w:t>
            </w:r>
          </w:p>
        </w:tc>
        <w:tc>
          <w:tcPr>
            <w:tcW w:w="1843" w:type="dxa"/>
            <w:vAlign w:val="center"/>
          </w:tcPr>
          <w:p w14:paraId="3AA78AB2" w14:textId="2EADF7A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-</w:t>
            </w:r>
          </w:p>
        </w:tc>
        <w:tc>
          <w:tcPr>
            <w:tcW w:w="1502" w:type="dxa"/>
            <w:vAlign w:val="center"/>
          </w:tcPr>
          <w:p w14:paraId="4880A13C" w14:textId="63029A75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-</w:t>
            </w:r>
          </w:p>
        </w:tc>
      </w:tr>
      <w:tr w:rsidR="0062184A" w:rsidRPr="00F71550" w14:paraId="71591B84" w14:textId="77777777" w:rsidTr="00ED0520">
        <w:tc>
          <w:tcPr>
            <w:tcW w:w="386" w:type="dxa"/>
            <w:vMerge/>
            <w:shd w:val="clear" w:color="auto" w:fill="EDEDED" w:themeFill="accent3" w:themeFillTint="33"/>
          </w:tcPr>
          <w:p w14:paraId="43341053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3F632BC0" w14:textId="61C1A3F7" w:rsidR="0062184A" w:rsidRDefault="0062184A" w:rsidP="0062184A">
            <w:pPr>
              <w:rPr>
                <w:sz w:val="18"/>
                <w:szCs w:val="18"/>
                <w:lang w:val="et-EE"/>
              </w:rPr>
            </w:pPr>
            <w:hyperlink r:id="rId34" w:history="1">
              <w:proofErr w:type="spellStart"/>
              <w:r w:rsidRPr="00BB7110">
                <w:rPr>
                  <w:rStyle w:val="Hyperlink"/>
                  <w:sz w:val="18"/>
                  <w:szCs w:val="18"/>
                  <w:lang w:val="et-EE"/>
                </w:rPr>
                <w:t>SmartCap</w:t>
              </w:r>
              <w:proofErr w:type="spellEnd"/>
              <w:r w:rsidRPr="00BB7110">
                <w:rPr>
                  <w:rStyle w:val="Hyperlink"/>
                  <w:sz w:val="18"/>
                  <w:szCs w:val="18"/>
                  <w:lang w:val="et-EE"/>
                </w:rPr>
                <w:t xml:space="preserve"> Teadusmahukate Investeeringute Fond</w:t>
              </w:r>
            </w:hyperlink>
          </w:p>
        </w:tc>
        <w:tc>
          <w:tcPr>
            <w:tcW w:w="3159" w:type="dxa"/>
            <w:vAlign w:val="center"/>
          </w:tcPr>
          <w:p w14:paraId="5A92384B" w14:textId="00B99C8E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K</w:t>
            </w:r>
            <w:r w:rsidRPr="00BB7110">
              <w:rPr>
                <w:sz w:val="18"/>
                <w:szCs w:val="18"/>
                <w:lang w:val="et-EE"/>
              </w:rPr>
              <w:t>õrgtehnoloogiliste iduettevõtete</w:t>
            </w:r>
            <w:r>
              <w:rPr>
                <w:sz w:val="18"/>
                <w:szCs w:val="18"/>
                <w:lang w:val="et-EE"/>
              </w:rPr>
              <w:t xml:space="preserve"> toetamine</w:t>
            </w:r>
            <w:r w:rsidRPr="00BB7110">
              <w:rPr>
                <w:sz w:val="18"/>
                <w:szCs w:val="18"/>
                <w:lang w:val="et-EE"/>
              </w:rPr>
              <w:t>, mille toote või teenuse arendus ja ärimudel põhinevad suuresti teadus- ja arendustööl ning sellega seotud intellektuaalsel omandil</w:t>
            </w:r>
            <w:r>
              <w:rPr>
                <w:sz w:val="18"/>
                <w:szCs w:val="18"/>
                <w:lang w:val="et-EE"/>
              </w:rPr>
              <w:t>.</w:t>
            </w:r>
          </w:p>
        </w:tc>
        <w:tc>
          <w:tcPr>
            <w:tcW w:w="1843" w:type="dxa"/>
            <w:vAlign w:val="center"/>
          </w:tcPr>
          <w:p w14:paraId="36868364" w14:textId="4E5C2C24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10 mln</w:t>
            </w:r>
          </w:p>
        </w:tc>
        <w:tc>
          <w:tcPr>
            <w:tcW w:w="1502" w:type="dxa"/>
            <w:vAlign w:val="center"/>
          </w:tcPr>
          <w:p w14:paraId="616B6D9D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</w:tr>
      <w:tr w:rsidR="0062184A" w:rsidRPr="00F71550" w14:paraId="145C2379" w14:textId="77777777" w:rsidTr="00ED0520">
        <w:tc>
          <w:tcPr>
            <w:tcW w:w="386" w:type="dxa"/>
            <w:vMerge/>
            <w:shd w:val="clear" w:color="auto" w:fill="EDEDED" w:themeFill="accent3" w:themeFillTint="33"/>
          </w:tcPr>
          <w:p w14:paraId="702C17D2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669AC062" w14:textId="31BBCE7C" w:rsidR="0062184A" w:rsidRPr="00ED0520" w:rsidRDefault="0062184A" w:rsidP="0062184A">
            <w:pPr>
              <w:rPr>
                <w:sz w:val="18"/>
                <w:szCs w:val="18"/>
              </w:rPr>
            </w:pPr>
            <w:hyperlink r:id="rId35" w:history="1">
              <w:r w:rsidRPr="00ED0520">
                <w:rPr>
                  <w:rStyle w:val="Hyperlink"/>
                  <w:sz w:val="18"/>
                  <w:szCs w:val="18"/>
                </w:rPr>
                <w:t>Stardilaen</w:t>
              </w:r>
            </w:hyperlink>
          </w:p>
        </w:tc>
        <w:tc>
          <w:tcPr>
            <w:tcW w:w="3159" w:type="dxa"/>
            <w:vAlign w:val="center"/>
          </w:tcPr>
          <w:p w14:paraId="59D35B6C" w14:textId="48EB37B0" w:rsidR="0062184A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Laen uue äriplaani või ettevõtte rahastamiseks</w:t>
            </w:r>
          </w:p>
        </w:tc>
        <w:tc>
          <w:tcPr>
            <w:tcW w:w="1843" w:type="dxa"/>
            <w:vAlign w:val="center"/>
          </w:tcPr>
          <w:p w14:paraId="1C6726B0" w14:textId="77777777" w:rsidR="0062184A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3C43E95B" w14:textId="4BFCB91F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100 000</w:t>
            </w:r>
          </w:p>
        </w:tc>
      </w:tr>
      <w:tr w:rsidR="0062184A" w:rsidRPr="00F71550" w14:paraId="7D6DCDCE" w14:textId="77777777" w:rsidTr="00ED0520">
        <w:tc>
          <w:tcPr>
            <w:tcW w:w="386" w:type="dxa"/>
            <w:vMerge/>
            <w:shd w:val="clear" w:color="auto" w:fill="EDEDED" w:themeFill="accent3" w:themeFillTint="33"/>
          </w:tcPr>
          <w:p w14:paraId="00A2E2C1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03E1A729" w14:textId="232DC6B7" w:rsidR="0062184A" w:rsidRPr="00ED0520" w:rsidRDefault="0062184A" w:rsidP="0062184A">
            <w:pPr>
              <w:rPr>
                <w:sz w:val="18"/>
                <w:szCs w:val="18"/>
              </w:rPr>
            </w:pPr>
            <w:hyperlink r:id="rId36" w:history="1">
              <w:r w:rsidRPr="00ED0520">
                <w:rPr>
                  <w:rStyle w:val="Hyperlink"/>
                  <w:sz w:val="18"/>
                  <w:szCs w:val="18"/>
                </w:rPr>
                <w:t>Superangel</w:t>
              </w:r>
            </w:hyperlink>
          </w:p>
        </w:tc>
        <w:tc>
          <w:tcPr>
            <w:tcW w:w="3159" w:type="dxa"/>
            <w:vAlign w:val="center"/>
          </w:tcPr>
          <w:p w14:paraId="02D68759" w14:textId="54637A7E" w:rsidR="0062184A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I</w:t>
            </w:r>
            <w:r w:rsidRPr="00ED0520">
              <w:rPr>
                <w:sz w:val="18"/>
                <w:szCs w:val="18"/>
                <w:lang w:val="et-EE"/>
              </w:rPr>
              <w:t>nvesteerib tehnoloogiavaldkonna iduettevõtetesse</w:t>
            </w:r>
          </w:p>
        </w:tc>
        <w:tc>
          <w:tcPr>
            <w:tcW w:w="1843" w:type="dxa"/>
            <w:vAlign w:val="center"/>
          </w:tcPr>
          <w:p w14:paraId="7B1309D3" w14:textId="77777777" w:rsidR="0062184A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246CCFD4" w14:textId="08C8D74C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sz w:val="18"/>
                <w:szCs w:val="18"/>
                <w:lang w:val="et-EE"/>
              </w:rPr>
              <w:t xml:space="preserve">1,5 </w:t>
            </w:r>
            <w:r>
              <w:rPr>
                <w:sz w:val="18"/>
                <w:szCs w:val="18"/>
                <w:lang w:val="et-EE"/>
              </w:rPr>
              <w:t>mln</w:t>
            </w:r>
          </w:p>
        </w:tc>
      </w:tr>
      <w:tr w:rsidR="0062184A" w:rsidRPr="00F71550" w14:paraId="3751ACC1" w14:textId="77777777" w:rsidTr="00ED0520">
        <w:tc>
          <w:tcPr>
            <w:tcW w:w="386" w:type="dxa"/>
            <w:vMerge/>
            <w:shd w:val="clear" w:color="auto" w:fill="EDEDED" w:themeFill="accent3" w:themeFillTint="33"/>
          </w:tcPr>
          <w:p w14:paraId="29222C61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1F0D5DCE" w14:textId="0770613D" w:rsidR="0062184A" w:rsidRPr="00ED0520" w:rsidRDefault="0062184A" w:rsidP="0062184A">
            <w:pPr>
              <w:rPr>
                <w:sz w:val="18"/>
                <w:szCs w:val="18"/>
              </w:rPr>
            </w:pPr>
            <w:hyperlink r:id="rId37" w:history="1">
              <w:r w:rsidRPr="00ED0520">
                <w:rPr>
                  <w:rStyle w:val="Hyperlink"/>
                  <w:sz w:val="18"/>
                  <w:szCs w:val="18"/>
                </w:rPr>
                <w:t>Karma Ventures</w:t>
              </w:r>
            </w:hyperlink>
          </w:p>
        </w:tc>
        <w:tc>
          <w:tcPr>
            <w:tcW w:w="3159" w:type="dxa"/>
            <w:vAlign w:val="center"/>
          </w:tcPr>
          <w:p w14:paraId="5ED47622" w14:textId="63BF9B89" w:rsidR="0062184A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I</w:t>
            </w:r>
            <w:r w:rsidRPr="00ED0520">
              <w:rPr>
                <w:sz w:val="18"/>
                <w:szCs w:val="18"/>
                <w:lang w:val="et-EE"/>
              </w:rPr>
              <w:t>nvesteerib tehnoloogiavaldkonna iduettevõtetesse</w:t>
            </w:r>
          </w:p>
        </w:tc>
        <w:tc>
          <w:tcPr>
            <w:tcW w:w="1843" w:type="dxa"/>
            <w:vAlign w:val="center"/>
          </w:tcPr>
          <w:p w14:paraId="17C4EF70" w14:textId="77777777" w:rsidR="0062184A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7922638A" w14:textId="7F86E24E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3 mln</w:t>
            </w:r>
          </w:p>
        </w:tc>
      </w:tr>
      <w:tr w:rsidR="0062184A" w:rsidRPr="00F71550" w14:paraId="41DB8B55" w14:textId="77777777" w:rsidTr="00ED0520">
        <w:tc>
          <w:tcPr>
            <w:tcW w:w="386" w:type="dxa"/>
            <w:vMerge/>
            <w:shd w:val="clear" w:color="auto" w:fill="EDEDED" w:themeFill="accent3" w:themeFillTint="33"/>
          </w:tcPr>
          <w:p w14:paraId="7B1856B8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6FC3CAE6" w14:textId="5380D409" w:rsidR="0062184A" w:rsidRPr="00ED0520" w:rsidRDefault="0062184A" w:rsidP="0062184A">
            <w:pPr>
              <w:rPr>
                <w:sz w:val="18"/>
                <w:szCs w:val="18"/>
              </w:rPr>
            </w:pPr>
            <w:hyperlink r:id="rId38" w:history="1">
              <w:r w:rsidRPr="00ED0520">
                <w:rPr>
                  <w:rStyle w:val="Hyperlink"/>
                  <w:sz w:val="18"/>
                  <w:szCs w:val="18"/>
                </w:rPr>
                <w:t>Tera Ventures</w:t>
              </w:r>
            </w:hyperlink>
          </w:p>
        </w:tc>
        <w:tc>
          <w:tcPr>
            <w:tcW w:w="3159" w:type="dxa"/>
            <w:vAlign w:val="center"/>
          </w:tcPr>
          <w:p w14:paraId="454BD5B6" w14:textId="48BEB674" w:rsidR="0062184A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I</w:t>
            </w:r>
            <w:r w:rsidRPr="00ED0520">
              <w:rPr>
                <w:sz w:val="18"/>
                <w:szCs w:val="18"/>
                <w:lang w:val="et-EE"/>
              </w:rPr>
              <w:t>nvesteerib tehnoloogiavaldkonna iduettevõtetesse</w:t>
            </w:r>
          </w:p>
        </w:tc>
        <w:tc>
          <w:tcPr>
            <w:tcW w:w="1843" w:type="dxa"/>
            <w:vAlign w:val="center"/>
          </w:tcPr>
          <w:p w14:paraId="09528036" w14:textId="77777777" w:rsidR="0062184A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3D0D49F8" w14:textId="7A8DA068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1,5 mln</w:t>
            </w:r>
          </w:p>
        </w:tc>
      </w:tr>
      <w:tr w:rsidR="0062184A" w:rsidRPr="00F71550" w14:paraId="415FA087" w14:textId="77777777" w:rsidTr="00ED0520">
        <w:tc>
          <w:tcPr>
            <w:tcW w:w="386" w:type="dxa"/>
            <w:vMerge/>
            <w:shd w:val="clear" w:color="auto" w:fill="EDEDED" w:themeFill="accent3" w:themeFillTint="33"/>
          </w:tcPr>
          <w:p w14:paraId="018EFAF4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653E1EA8" w14:textId="1CC5EE19" w:rsidR="0062184A" w:rsidRPr="00ED0520" w:rsidRDefault="0062184A" w:rsidP="0062184A">
            <w:pPr>
              <w:rPr>
                <w:sz w:val="18"/>
                <w:szCs w:val="18"/>
              </w:rPr>
            </w:pPr>
            <w:hyperlink r:id="rId39" w:history="1">
              <w:r w:rsidRPr="00ED0520">
                <w:rPr>
                  <w:rStyle w:val="Hyperlink"/>
                  <w:sz w:val="18"/>
                  <w:szCs w:val="18"/>
                </w:rPr>
                <w:t>United Angels</w:t>
              </w:r>
            </w:hyperlink>
          </w:p>
        </w:tc>
        <w:tc>
          <w:tcPr>
            <w:tcW w:w="3159" w:type="dxa"/>
            <w:vAlign w:val="center"/>
          </w:tcPr>
          <w:p w14:paraId="1B2AFFD5" w14:textId="576A5841" w:rsidR="0062184A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I</w:t>
            </w:r>
            <w:r w:rsidRPr="00ED0520">
              <w:rPr>
                <w:sz w:val="18"/>
                <w:szCs w:val="18"/>
                <w:lang w:val="et-EE"/>
              </w:rPr>
              <w:t>nvesteerib tehnoloogiavaldkonna iduettevõtetesse</w:t>
            </w:r>
          </w:p>
        </w:tc>
        <w:tc>
          <w:tcPr>
            <w:tcW w:w="1843" w:type="dxa"/>
            <w:vAlign w:val="center"/>
          </w:tcPr>
          <w:p w14:paraId="5BA5436D" w14:textId="77777777" w:rsidR="0062184A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6E189D83" w14:textId="3E9968F5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1,5 mln</w:t>
            </w:r>
          </w:p>
        </w:tc>
      </w:tr>
      <w:tr w:rsidR="0062184A" w:rsidRPr="00F71550" w14:paraId="7E604845" w14:textId="77777777" w:rsidTr="00ED0520">
        <w:tc>
          <w:tcPr>
            <w:tcW w:w="386" w:type="dxa"/>
            <w:vMerge w:val="restart"/>
            <w:shd w:val="clear" w:color="auto" w:fill="E2EFD9" w:themeFill="accent6" w:themeFillTint="33"/>
            <w:textDirection w:val="btLr"/>
          </w:tcPr>
          <w:p w14:paraId="02817DFC" w14:textId="67F88112" w:rsidR="0062184A" w:rsidRPr="00F71550" w:rsidRDefault="0062184A" w:rsidP="0062184A">
            <w:pPr>
              <w:ind w:left="113" w:right="113"/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Rohepööre</w:t>
            </w:r>
          </w:p>
        </w:tc>
        <w:tc>
          <w:tcPr>
            <w:tcW w:w="8624" w:type="dxa"/>
            <w:gridSpan w:val="4"/>
            <w:shd w:val="clear" w:color="auto" w:fill="E2EFD9" w:themeFill="accent6" w:themeFillTint="33"/>
            <w:vAlign w:val="center"/>
          </w:tcPr>
          <w:p w14:paraId="5C95EADF" w14:textId="550ED3CD" w:rsidR="0062184A" w:rsidRPr="00FD22AA" w:rsidRDefault="0062184A" w:rsidP="0062184A">
            <w:pPr>
              <w:rPr>
                <w:lang w:val="et-EE"/>
              </w:rPr>
            </w:pPr>
            <w:hyperlink r:id="rId40" w:history="1">
              <w:r w:rsidRPr="00FD22AA">
                <w:rPr>
                  <w:rStyle w:val="Hyperlink"/>
                  <w:lang w:val="et-EE"/>
                </w:rPr>
                <w:t>Keskkonnainvesteeringute Keskuse</w:t>
              </w:r>
            </w:hyperlink>
            <w:r>
              <w:rPr>
                <w:lang w:val="et-EE"/>
              </w:rPr>
              <w:t xml:space="preserve"> (</w:t>
            </w:r>
            <w:r w:rsidRPr="00FD22AA">
              <w:rPr>
                <w:lang w:val="et-EE"/>
              </w:rPr>
              <w:t>KIK</w:t>
            </w:r>
            <w:r>
              <w:rPr>
                <w:lang w:val="et-EE"/>
              </w:rPr>
              <w:t>)</w:t>
            </w:r>
            <w:r w:rsidRPr="00FD22AA">
              <w:rPr>
                <w:lang w:val="et-EE"/>
              </w:rPr>
              <w:t xml:space="preserve"> toetused ja teenused:</w:t>
            </w:r>
          </w:p>
        </w:tc>
      </w:tr>
      <w:tr w:rsidR="0062184A" w:rsidRPr="00F71550" w14:paraId="6D382DD6" w14:textId="77777777" w:rsidTr="00DA068D">
        <w:tc>
          <w:tcPr>
            <w:tcW w:w="386" w:type="dxa"/>
            <w:vMerge/>
            <w:shd w:val="clear" w:color="auto" w:fill="E2EFD9" w:themeFill="accent6" w:themeFillTint="33"/>
          </w:tcPr>
          <w:p w14:paraId="4EC18869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7C4C75FD" w14:textId="77777777" w:rsidR="0062184A" w:rsidRPr="0008484B" w:rsidRDefault="0062184A" w:rsidP="0062184A">
            <w:pPr>
              <w:rPr>
                <w:sz w:val="18"/>
                <w:szCs w:val="18"/>
                <w:lang w:val="et-EE"/>
              </w:rPr>
            </w:pPr>
            <w:hyperlink r:id="rId41" w:history="1">
              <w:r w:rsidRPr="0008484B">
                <w:rPr>
                  <w:rStyle w:val="Hyperlink"/>
                  <w:sz w:val="18"/>
                  <w:szCs w:val="18"/>
                  <w:lang w:val="et-EE"/>
                </w:rPr>
                <w:t>Innovatsioonifondi väikeprojektide voor</w:t>
              </w:r>
            </w:hyperlink>
          </w:p>
          <w:p w14:paraId="719AFC08" w14:textId="1C575336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7E105D">
              <w:rPr>
                <w:color w:val="FF0000"/>
                <w:sz w:val="18"/>
                <w:szCs w:val="18"/>
                <w:lang w:val="et-EE"/>
              </w:rPr>
              <w:t>Taotluste esitamise tähtaeg on 10. märts 2021</w:t>
            </w:r>
            <w:r>
              <w:rPr>
                <w:color w:val="FF0000"/>
                <w:sz w:val="18"/>
                <w:szCs w:val="18"/>
                <w:lang w:val="et-EE"/>
              </w:rPr>
              <w:t>!</w:t>
            </w:r>
          </w:p>
        </w:tc>
        <w:tc>
          <w:tcPr>
            <w:tcW w:w="3159" w:type="dxa"/>
            <w:vAlign w:val="center"/>
          </w:tcPr>
          <w:p w14:paraId="61C3C194" w14:textId="5D201276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Innovaatilised energiatõhusad lahendused (KIK teavitustegevused, EIB toetus)</w:t>
            </w:r>
          </w:p>
        </w:tc>
        <w:tc>
          <w:tcPr>
            <w:tcW w:w="1843" w:type="dxa"/>
            <w:vAlign w:val="center"/>
          </w:tcPr>
          <w:p w14:paraId="2DE64294" w14:textId="32711C86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100 mln</w:t>
            </w:r>
          </w:p>
        </w:tc>
        <w:tc>
          <w:tcPr>
            <w:tcW w:w="1502" w:type="dxa"/>
            <w:vAlign w:val="center"/>
          </w:tcPr>
          <w:p w14:paraId="7594EC3F" w14:textId="38600A7C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,</w:t>
            </w: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5 m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ln</w:t>
            </w:r>
            <w:proofErr w:type="spellEnd"/>
          </w:p>
        </w:tc>
      </w:tr>
      <w:tr w:rsidR="0062184A" w:rsidRPr="00F71550" w14:paraId="12C4915E" w14:textId="77777777" w:rsidTr="00ED0520">
        <w:tc>
          <w:tcPr>
            <w:tcW w:w="386" w:type="dxa"/>
            <w:vMerge/>
            <w:shd w:val="clear" w:color="auto" w:fill="E2EFD9" w:themeFill="accent6" w:themeFillTint="33"/>
          </w:tcPr>
          <w:p w14:paraId="611FDE4B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403C0BB3" w14:textId="77777777" w:rsidR="0062184A" w:rsidRDefault="0062184A" w:rsidP="0062184A">
            <w:pPr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42" w:tooltip="https://kik.ee/et/toetatav-tegevus/jaatmete-ringlussevott-ja-korduskasutuseks-ettevalmistamine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Jäätmete ringlussevõtu toetamine</w:t>
              </w:r>
            </w:hyperlink>
          </w:p>
          <w:p w14:paraId="1E9FDB49" w14:textId="5A999CCE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color w:val="FF0000"/>
                <w:sz w:val="18"/>
                <w:szCs w:val="18"/>
                <w:lang w:val="et-EE"/>
              </w:rPr>
              <w:t>T</w:t>
            </w:r>
            <w:r w:rsidRPr="004856B4">
              <w:rPr>
                <w:color w:val="FF0000"/>
                <w:sz w:val="18"/>
                <w:szCs w:val="18"/>
                <w:lang w:val="et-EE"/>
              </w:rPr>
              <w:t>aotluste vastuvõtt lõpeb 31. märtsil 2021</w:t>
            </w:r>
            <w:r>
              <w:rPr>
                <w:color w:val="FF0000"/>
                <w:sz w:val="18"/>
                <w:szCs w:val="18"/>
                <w:lang w:val="et-EE"/>
              </w:rPr>
              <w:t>!</w:t>
            </w:r>
          </w:p>
        </w:tc>
        <w:tc>
          <w:tcPr>
            <w:tcW w:w="3159" w:type="dxa"/>
            <w:vAlign w:val="center"/>
          </w:tcPr>
          <w:p w14:paraId="75AC328B" w14:textId="67B84027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Jäätmejaamade rajami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ne</w:t>
            </w:r>
            <w:proofErr w:type="spellEnd"/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, laiendami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ne</w:t>
            </w:r>
            <w:proofErr w:type="spellEnd"/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 inventari soetami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ne</w:t>
            </w:r>
            <w:proofErr w:type="spellEnd"/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, sõidukite soetami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ne</w:t>
            </w:r>
            <w:proofErr w:type="spellEnd"/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ning biojäätmete ringlussevõtuks vajalike vahendite soetami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ne</w:t>
            </w:r>
            <w:proofErr w:type="spellEnd"/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, tervikliku kogumissüsteemi soetami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ne</w:t>
            </w:r>
            <w:proofErr w:type="spellEnd"/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ning kodukompostrite ja kodumajapidamises vajalike liigiti kogutud jäätmete konteinerite soetami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ne</w:t>
            </w:r>
            <w:proofErr w:type="spellEnd"/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6A1BF315" w14:textId="7266D7C5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3 mln</w:t>
            </w:r>
          </w:p>
        </w:tc>
        <w:tc>
          <w:tcPr>
            <w:tcW w:w="1502" w:type="dxa"/>
            <w:vAlign w:val="center"/>
          </w:tcPr>
          <w:p w14:paraId="4D495EBF" w14:textId="6F8451F4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1,5 mln</w:t>
            </w:r>
          </w:p>
        </w:tc>
      </w:tr>
      <w:tr w:rsidR="0062184A" w:rsidRPr="00F71550" w14:paraId="2FCF423A" w14:textId="77777777" w:rsidTr="00ED0520">
        <w:tc>
          <w:tcPr>
            <w:tcW w:w="386" w:type="dxa"/>
            <w:vMerge/>
            <w:shd w:val="clear" w:color="auto" w:fill="E2EFD9" w:themeFill="accent6" w:themeFillTint="33"/>
          </w:tcPr>
          <w:p w14:paraId="1A097DAC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7926DDA3" w14:textId="5DDB4A7E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fldChar w:fldCharType="begin"/>
            </w:r>
            <w:r>
              <w:instrText>HYPERLINK "https://kik.ee/et/toetatav-tegevus/keskkonna-ja-kliimaprojektide-kaasrahastamine" \o "https://kik.ee/et/toetatav-tegevus/keskkonna-ja-kliimaprojektide-kaasrahastamine"</w:instrText>
            </w:r>
            <w: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t>LIFE programm - kes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t>k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t>konna- ja kliim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t>projektide kaasrahastamine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159" w:type="dxa"/>
            <w:vAlign w:val="center"/>
          </w:tcPr>
          <w:p w14:paraId="6311B238" w14:textId="7C725135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1) Aidata kaasa ressursitõhusa, vähese CO2-heitega ja kliimamuutustele vastupanuvõimelise majanduse saavutamisele; 2) aidata kaasa keskkonna kaitsmisele ja keskkonna kvaliteedi parandamisele; 3) aidata kaasa bioloogilise mitmekesisuse vähendamise peatamisele ja ümberpööramisele; 4) tõhustada keskkonna- ja kliimapoliitika ning vastavate õigusaktide väljatöötamist ja elluviimist; 5) toetada keskkonna- ja kliimavaldkonna paremat juhtimist kõikidel tasanditel.</w:t>
            </w:r>
          </w:p>
        </w:tc>
        <w:tc>
          <w:tcPr>
            <w:tcW w:w="1843" w:type="dxa"/>
            <w:vAlign w:val="center"/>
          </w:tcPr>
          <w:p w14:paraId="38EEFFDC" w14:textId="48A25324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43DA7BE1" w14:textId="165C73B5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 xml:space="preserve">Varieerub </w:t>
            </w:r>
          </w:p>
        </w:tc>
      </w:tr>
      <w:tr w:rsidR="0062184A" w:rsidRPr="00F71550" w14:paraId="4642BB91" w14:textId="77777777" w:rsidTr="00ED0520">
        <w:tc>
          <w:tcPr>
            <w:tcW w:w="386" w:type="dxa"/>
            <w:vMerge/>
            <w:shd w:val="clear" w:color="auto" w:fill="E2EFD9" w:themeFill="accent6" w:themeFillTint="33"/>
          </w:tcPr>
          <w:p w14:paraId="28C1EDE1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32CFA243" w14:textId="7F902D44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hyperlink r:id="rId43" w:tooltip="https://kik.ee/et/toetatav-tegevus/keskkonnalaen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Keskkonnalaen (vee</w:t>
              </w:r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m</w:t>
              </w:r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aja</w:t>
              </w:r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n</w:t>
              </w:r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dustaristu arendamiseks)</w:t>
              </w:r>
            </w:hyperlink>
          </w:p>
        </w:tc>
        <w:tc>
          <w:tcPr>
            <w:tcW w:w="3159" w:type="dxa"/>
            <w:vAlign w:val="center"/>
          </w:tcPr>
          <w:p w14:paraId="6290AFCA" w14:textId="0D42BC66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Euroopa Liidu Ühtekuuluvusfondist (ÜF) rahastatavate veemajandustaristu arendamise projektide omafinantseeringu tagamiseks või käibemaksu tasumiseks.</w:t>
            </w:r>
          </w:p>
        </w:tc>
        <w:tc>
          <w:tcPr>
            <w:tcW w:w="1843" w:type="dxa"/>
            <w:vAlign w:val="center"/>
          </w:tcPr>
          <w:p w14:paraId="63B4D536" w14:textId="1CDC296A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2B6469FC" w14:textId="0D3BC2B6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8416A4">
              <w:rPr>
                <w:sz w:val="18"/>
                <w:szCs w:val="18"/>
                <w:lang w:val="et-EE"/>
              </w:rPr>
              <w:t>100% omafinantseeringust.</w:t>
            </w:r>
          </w:p>
        </w:tc>
      </w:tr>
      <w:tr w:rsidR="0062184A" w:rsidRPr="00F71550" w14:paraId="675725DB" w14:textId="77777777" w:rsidTr="00ED0520">
        <w:tc>
          <w:tcPr>
            <w:tcW w:w="386" w:type="dxa"/>
            <w:vMerge/>
            <w:shd w:val="clear" w:color="auto" w:fill="E2EFD9" w:themeFill="accent6" w:themeFillTint="33"/>
          </w:tcPr>
          <w:p w14:paraId="09228D69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29A46A4B" w14:textId="77777777" w:rsidR="0062184A" w:rsidRDefault="0062184A" w:rsidP="0062184A">
            <w:pPr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44" w:tooltip="https://kik.ee/et/toetatav-tegevus/ettevotete-ressursitohusus" w:history="1">
              <w:r w:rsidRPr="00ED0520">
                <w:rPr>
                  <w:rStyle w:val="Hyperlink"/>
                  <w:rFonts w:ascii="Calibri" w:hAnsi="Calibri" w:cs="Calibri"/>
                  <w:sz w:val="18"/>
                  <w:szCs w:val="18"/>
                </w:rPr>
                <w:t>Ettev</w:t>
              </w:r>
              <w:r w:rsidRPr="00ED0520">
                <w:rPr>
                  <w:rStyle w:val="Hyperlink"/>
                  <w:rFonts w:ascii="Calibri" w:hAnsi="Calibri" w:cs="Calibri"/>
                  <w:sz w:val="18"/>
                  <w:szCs w:val="18"/>
                </w:rPr>
                <w:t>õ</w:t>
              </w:r>
              <w:r w:rsidRPr="00ED0520">
                <w:rPr>
                  <w:rStyle w:val="Hyperlink"/>
                  <w:rFonts w:ascii="Calibri" w:hAnsi="Calibri" w:cs="Calibri"/>
                  <w:sz w:val="18"/>
                  <w:szCs w:val="18"/>
                </w:rPr>
                <w:t>tete ressursitõhusus</w:t>
              </w:r>
            </w:hyperlink>
          </w:p>
          <w:p w14:paraId="0D979F8F" w14:textId="238E9AF6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A010BC">
              <w:rPr>
                <w:rStyle w:val="Hyperlink"/>
                <w:rFonts w:ascii="Calibri" w:hAnsi="Calibri" w:cs="Calibri"/>
                <w:color w:val="FF0000"/>
                <w:sz w:val="18"/>
                <w:szCs w:val="18"/>
                <w:u w:val="none"/>
                <w:lang w:val="et-EE"/>
              </w:rPr>
              <w:t>Jälgi infot kodulehel, hetkel vahendid ammendunud!</w:t>
            </w:r>
          </w:p>
        </w:tc>
        <w:tc>
          <w:tcPr>
            <w:tcW w:w="3159" w:type="dxa"/>
            <w:vAlign w:val="center"/>
          </w:tcPr>
          <w:p w14:paraId="0CD0DD16" w14:textId="721A5469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Ressursitõhususe saavutami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ne</w:t>
            </w:r>
            <w:proofErr w:type="spellEnd"/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ettevõtetes.</w:t>
            </w:r>
          </w:p>
        </w:tc>
        <w:tc>
          <w:tcPr>
            <w:tcW w:w="1843" w:type="dxa"/>
            <w:vAlign w:val="center"/>
          </w:tcPr>
          <w:p w14:paraId="43BE47F2" w14:textId="77253E19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7,1 mln</w:t>
            </w:r>
          </w:p>
        </w:tc>
        <w:tc>
          <w:tcPr>
            <w:tcW w:w="1502" w:type="dxa"/>
            <w:vAlign w:val="center"/>
          </w:tcPr>
          <w:p w14:paraId="75DAD62B" w14:textId="35BF3EFB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200 000</w:t>
            </w:r>
          </w:p>
        </w:tc>
      </w:tr>
      <w:tr w:rsidR="0062184A" w:rsidRPr="00F71550" w14:paraId="42EC043B" w14:textId="77777777" w:rsidTr="00ED0520">
        <w:tc>
          <w:tcPr>
            <w:tcW w:w="386" w:type="dxa"/>
            <w:vMerge/>
            <w:shd w:val="clear" w:color="auto" w:fill="E2EFD9" w:themeFill="accent6" w:themeFillTint="33"/>
          </w:tcPr>
          <w:p w14:paraId="7892CC9F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1CFE0341" w14:textId="77777777" w:rsidR="0062184A" w:rsidRPr="00950502" w:rsidRDefault="0062184A" w:rsidP="0062184A">
            <w:pPr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hyperlink r:id="rId45" w:tooltip="https://kik.ee/et/toetatav-tegevus/elektriliste-soidukite-soetamine" w:history="1">
              <w:r w:rsidRPr="00950502">
                <w:rPr>
                  <w:rStyle w:val="Hyperlink"/>
                  <w:rFonts w:ascii="Calibri" w:hAnsi="Calibri" w:cs="Calibri"/>
                  <w:sz w:val="18"/>
                  <w:szCs w:val="18"/>
                </w:rPr>
                <w:t>Elektriauto ost</w:t>
              </w:r>
              <w:r w:rsidRPr="00950502">
                <w:rPr>
                  <w:rStyle w:val="Hyperlink"/>
                  <w:rFonts w:ascii="Calibri" w:hAnsi="Calibri" w:cs="Calibri"/>
                  <w:sz w:val="18"/>
                  <w:szCs w:val="18"/>
                </w:rPr>
                <w:t>u</w:t>
              </w:r>
              <w:r w:rsidRPr="00950502">
                <w:rPr>
                  <w:rStyle w:val="Hyperlink"/>
                  <w:rFonts w:ascii="Calibri" w:hAnsi="Calibri" w:cs="Calibri"/>
                  <w:sz w:val="18"/>
                  <w:szCs w:val="18"/>
                </w:rPr>
                <w:t>toetus</w:t>
              </w:r>
            </w:hyperlink>
          </w:p>
          <w:p w14:paraId="32C0E147" w14:textId="57CF9DAB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950502">
              <w:rPr>
                <w:rStyle w:val="Hyperlink"/>
                <w:rFonts w:ascii="Calibri" w:hAnsi="Calibri" w:cs="Calibri"/>
                <w:color w:val="FF0000"/>
                <w:sz w:val="18"/>
                <w:szCs w:val="18"/>
                <w:u w:val="none"/>
              </w:rPr>
              <w:t>Hetkel vahendite lõppemise tõttu suletud</w:t>
            </w:r>
            <w:r w:rsidRPr="00950502">
              <w:rPr>
                <w:rStyle w:val="Hyperlink"/>
                <w:rFonts w:ascii="Calibri" w:hAnsi="Calibri" w:cs="Calibri"/>
                <w:color w:val="FF0000"/>
                <w:sz w:val="18"/>
                <w:szCs w:val="18"/>
                <w:u w:val="none"/>
                <w:lang w:val="et-EE"/>
              </w:rPr>
              <w:t>!</w:t>
            </w:r>
          </w:p>
        </w:tc>
        <w:tc>
          <w:tcPr>
            <w:tcW w:w="3159" w:type="dxa"/>
            <w:vAlign w:val="center"/>
          </w:tcPr>
          <w:p w14:paraId="2C8F41D4" w14:textId="0A9F8272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Meetme eesmärk on süsinikdioksiidi emissiooni vähendamine Eesti transpordisektoris elektrisõidukite ulatuslikuma kasutuselevõtu abil ning elektritranspordi propageerimine.</w:t>
            </w:r>
          </w:p>
        </w:tc>
        <w:tc>
          <w:tcPr>
            <w:tcW w:w="1843" w:type="dxa"/>
            <w:vAlign w:val="center"/>
          </w:tcPr>
          <w:p w14:paraId="0EDD1E1D" w14:textId="245C1673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502" w:type="dxa"/>
            <w:vAlign w:val="center"/>
          </w:tcPr>
          <w:p w14:paraId="53D8E592" w14:textId="7BD5F4BE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</w:tr>
      <w:tr w:rsidR="0062184A" w:rsidRPr="00F71550" w14:paraId="729FDDB6" w14:textId="77777777" w:rsidTr="00ED0520">
        <w:tc>
          <w:tcPr>
            <w:tcW w:w="386" w:type="dxa"/>
            <w:vMerge/>
            <w:shd w:val="clear" w:color="auto" w:fill="E2EFD9" w:themeFill="accent6" w:themeFillTint="33"/>
          </w:tcPr>
          <w:p w14:paraId="736B1E60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6F794BFF" w14:textId="5CF52F20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Rohemeede (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t-EE"/>
              </w:rPr>
              <w:t>tulemas</w:t>
            </w: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59" w:type="dxa"/>
            <w:vAlign w:val="center"/>
          </w:tcPr>
          <w:p w14:paraId="1B65710C" w14:textId="20711C73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Kliimaneutraalse majanduse suunas liikumisele kaasa aitamine läbi rohetehnoloogiaalase iduettevõtluse edendamise ja üldhariduskoolide rohetehnoloogia teadusprojektide toetamise </w:t>
            </w:r>
          </w:p>
        </w:tc>
        <w:tc>
          <w:tcPr>
            <w:tcW w:w="1843" w:type="dxa"/>
            <w:vAlign w:val="center"/>
          </w:tcPr>
          <w:p w14:paraId="1DAE9322" w14:textId="2E5D193B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194 tuh</w:t>
            </w:r>
          </w:p>
        </w:tc>
        <w:tc>
          <w:tcPr>
            <w:tcW w:w="1502" w:type="dxa"/>
            <w:vAlign w:val="center"/>
          </w:tcPr>
          <w:p w14:paraId="4D4F348D" w14:textId="449DC1C7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30 tuh</w:t>
            </w:r>
          </w:p>
        </w:tc>
      </w:tr>
      <w:tr w:rsidR="0062184A" w:rsidRPr="00F71550" w14:paraId="4F9ED3F6" w14:textId="77777777" w:rsidTr="00ED0520">
        <w:tc>
          <w:tcPr>
            <w:tcW w:w="386" w:type="dxa"/>
            <w:vMerge/>
            <w:shd w:val="clear" w:color="auto" w:fill="E2EFD9" w:themeFill="accent6" w:themeFillTint="33"/>
          </w:tcPr>
          <w:p w14:paraId="15402D07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5A0C2980" w14:textId="24D01666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Elektribussid (väljatöötamisel)</w:t>
            </w:r>
          </w:p>
        </w:tc>
        <w:tc>
          <w:tcPr>
            <w:tcW w:w="3159" w:type="dxa"/>
            <w:vAlign w:val="center"/>
          </w:tcPr>
          <w:p w14:paraId="1FA10A0A" w14:textId="0DF9BD95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Elektribusside soetamine 2021-2023 perioodil linnades</w:t>
            </w:r>
          </w:p>
        </w:tc>
        <w:tc>
          <w:tcPr>
            <w:tcW w:w="1843" w:type="dxa"/>
            <w:vAlign w:val="center"/>
          </w:tcPr>
          <w:p w14:paraId="000AE2C0" w14:textId="05218C05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Ca 4 mln</w:t>
            </w:r>
          </w:p>
        </w:tc>
        <w:tc>
          <w:tcPr>
            <w:tcW w:w="1502" w:type="dxa"/>
            <w:vAlign w:val="center"/>
          </w:tcPr>
          <w:p w14:paraId="3CA98D4F" w14:textId="73055B21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</w:tr>
      <w:tr w:rsidR="0062184A" w:rsidRPr="00F71550" w14:paraId="5E255B36" w14:textId="77777777" w:rsidTr="00ED0520">
        <w:tc>
          <w:tcPr>
            <w:tcW w:w="386" w:type="dxa"/>
            <w:vMerge/>
            <w:shd w:val="clear" w:color="auto" w:fill="E2EFD9" w:themeFill="accent6" w:themeFillTint="33"/>
          </w:tcPr>
          <w:p w14:paraId="1B3657B1" w14:textId="77777777" w:rsidR="0062184A" w:rsidRPr="00F71550" w:rsidRDefault="0062184A" w:rsidP="0062184A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2120" w:type="dxa"/>
            <w:vAlign w:val="center"/>
          </w:tcPr>
          <w:p w14:paraId="0ECED42E" w14:textId="3FF4887C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Moderniseerimisfond (väljatöötamisel)</w:t>
            </w:r>
          </w:p>
        </w:tc>
        <w:tc>
          <w:tcPr>
            <w:tcW w:w="3159" w:type="dxa"/>
            <w:vAlign w:val="center"/>
          </w:tcPr>
          <w:p w14:paraId="2FAEA900" w14:textId="58B6243A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Fookuses energiatõhusus: 1) taastuvatest energiaallikatest elektrienergia tootmine ja kasutamine; 2) energiatõhususe parandamine; 3) energia salvestamine ja energiavõrkude moderniseerimine; 4) õiglane üleminek; 5) energiatõhususe arendamine transpordi, hoonete, põllumajanduse ja jäätmete valdkonnas.</w:t>
            </w:r>
          </w:p>
        </w:tc>
        <w:tc>
          <w:tcPr>
            <w:tcW w:w="1843" w:type="dxa"/>
            <w:vAlign w:val="center"/>
          </w:tcPr>
          <w:p w14:paraId="5A9638FE" w14:textId="248A4EFA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väljatöötamisel</w:t>
            </w:r>
          </w:p>
        </w:tc>
        <w:tc>
          <w:tcPr>
            <w:tcW w:w="1502" w:type="dxa"/>
            <w:vAlign w:val="center"/>
          </w:tcPr>
          <w:p w14:paraId="501559DD" w14:textId="69048D68" w:rsidR="0062184A" w:rsidRPr="00ED0520" w:rsidRDefault="0062184A" w:rsidP="0062184A">
            <w:pPr>
              <w:rPr>
                <w:sz w:val="18"/>
                <w:szCs w:val="18"/>
                <w:lang w:val="et-EE"/>
              </w:rPr>
            </w:pPr>
            <w:r w:rsidRPr="00ED0520">
              <w:rPr>
                <w:rFonts w:ascii="Calibri" w:hAnsi="Calibri" w:cs="Calibri"/>
                <w:color w:val="000000"/>
                <w:sz w:val="18"/>
                <w:szCs w:val="18"/>
              </w:rPr>
              <w:t>väljatöötamisel</w:t>
            </w:r>
          </w:p>
        </w:tc>
      </w:tr>
    </w:tbl>
    <w:p w14:paraId="40D069BD" w14:textId="77777777" w:rsidR="00E47F61" w:rsidRPr="001D46B0" w:rsidRDefault="00E47F61" w:rsidP="00E47F61">
      <w:pPr>
        <w:rPr>
          <w:sz w:val="22"/>
          <w:szCs w:val="22"/>
          <w:lang w:val="et-EE"/>
        </w:rPr>
      </w:pPr>
    </w:p>
    <w:sectPr w:rsidR="00E47F61" w:rsidRPr="001D46B0" w:rsidSect="007438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C71"/>
    <w:multiLevelType w:val="hybridMultilevel"/>
    <w:tmpl w:val="29EA54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860"/>
    <w:multiLevelType w:val="hybridMultilevel"/>
    <w:tmpl w:val="E020ECC4"/>
    <w:lvl w:ilvl="0" w:tplc="91889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7E03"/>
    <w:multiLevelType w:val="hybridMultilevel"/>
    <w:tmpl w:val="0C0A217C"/>
    <w:lvl w:ilvl="0" w:tplc="AD3074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6A11"/>
    <w:multiLevelType w:val="hybridMultilevel"/>
    <w:tmpl w:val="0A9E96F0"/>
    <w:lvl w:ilvl="0" w:tplc="57FE07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484"/>
    <w:multiLevelType w:val="hybridMultilevel"/>
    <w:tmpl w:val="8794AB46"/>
    <w:lvl w:ilvl="0" w:tplc="26922C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F4798"/>
    <w:multiLevelType w:val="hybridMultilevel"/>
    <w:tmpl w:val="9E747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9E"/>
    <w:rsid w:val="000274F4"/>
    <w:rsid w:val="00040775"/>
    <w:rsid w:val="000555D2"/>
    <w:rsid w:val="00081D21"/>
    <w:rsid w:val="000E0850"/>
    <w:rsid w:val="00110E45"/>
    <w:rsid w:val="0012161B"/>
    <w:rsid w:val="001D46B0"/>
    <w:rsid w:val="001F6B9C"/>
    <w:rsid w:val="00206D9E"/>
    <w:rsid w:val="002221E4"/>
    <w:rsid w:val="0023200F"/>
    <w:rsid w:val="0023637D"/>
    <w:rsid w:val="00272B7F"/>
    <w:rsid w:val="00286804"/>
    <w:rsid w:val="002963F5"/>
    <w:rsid w:val="00495913"/>
    <w:rsid w:val="004963DA"/>
    <w:rsid w:val="004C400E"/>
    <w:rsid w:val="00543AB0"/>
    <w:rsid w:val="00552707"/>
    <w:rsid w:val="00581C3E"/>
    <w:rsid w:val="005B4421"/>
    <w:rsid w:val="0062184A"/>
    <w:rsid w:val="00625A2D"/>
    <w:rsid w:val="006929D4"/>
    <w:rsid w:val="006F71D3"/>
    <w:rsid w:val="007438B7"/>
    <w:rsid w:val="007C26AD"/>
    <w:rsid w:val="007F785B"/>
    <w:rsid w:val="0085421E"/>
    <w:rsid w:val="008759BC"/>
    <w:rsid w:val="008854C6"/>
    <w:rsid w:val="008E7439"/>
    <w:rsid w:val="0091284E"/>
    <w:rsid w:val="009430B6"/>
    <w:rsid w:val="00A16EEE"/>
    <w:rsid w:val="00A51D6D"/>
    <w:rsid w:val="00A85B23"/>
    <w:rsid w:val="00AA5854"/>
    <w:rsid w:val="00AC5FC6"/>
    <w:rsid w:val="00AE49A2"/>
    <w:rsid w:val="00B0100B"/>
    <w:rsid w:val="00B82EA4"/>
    <w:rsid w:val="00BB7110"/>
    <w:rsid w:val="00BF634A"/>
    <w:rsid w:val="00C6427E"/>
    <w:rsid w:val="00D422A7"/>
    <w:rsid w:val="00D724F0"/>
    <w:rsid w:val="00DC4F47"/>
    <w:rsid w:val="00E0065F"/>
    <w:rsid w:val="00E47F61"/>
    <w:rsid w:val="00E51725"/>
    <w:rsid w:val="00ED0520"/>
    <w:rsid w:val="00EF1B72"/>
    <w:rsid w:val="00F6177B"/>
    <w:rsid w:val="00F67C94"/>
    <w:rsid w:val="00F71550"/>
    <w:rsid w:val="00F7426D"/>
    <w:rsid w:val="00FA6838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6C5D9"/>
  <w15:chartTrackingRefBased/>
  <w15:docId w15:val="{483F6BD0-99DD-8D4F-80B0-26F1583C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D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6D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200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tag.ee/uritus/taotluste-esitamise-tahtaeg-horisont-2020-roheleppe-green-deal-call-taotlusvooru-konkursid/" TargetMode="External"/><Relationship Id="rId18" Type="http://schemas.openxmlformats.org/officeDocument/2006/relationships/hyperlink" Target="https://www.eas.ee/teenus/sf-tootearenduse-toetus/" TargetMode="External"/><Relationship Id="rId26" Type="http://schemas.openxmlformats.org/officeDocument/2006/relationships/hyperlink" Target="https://www.eas.ee/teenus/norratoetus/" TargetMode="External"/><Relationship Id="rId39" Type="http://schemas.openxmlformats.org/officeDocument/2006/relationships/hyperlink" Target="https://unitedangels.vc/" TargetMode="External"/><Relationship Id="rId21" Type="http://schemas.openxmlformats.org/officeDocument/2006/relationships/hyperlink" Target="https://www.eas.ee/teenus/tugiteenus-ja-arenduskeskuste-toetus/" TargetMode="External"/><Relationship Id="rId34" Type="http://schemas.openxmlformats.org/officeDocument/2006/relationships/hyperlink" Target="https://kredex.ee/et/kes-me-oleme/smartcap" TargetMode="External"/><Relationship Id="rId42" Type="http://schemas.openxmlformats.org/officeDocument/2006/relationships/hyperlink" Target="https://kik.ee/et/toetatav-tegevus/jaatmete-ringlussevott-ja-korduskasutuseks-ettevalmistamin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etag.ee/rahastamine/rakendusuuringute-toetus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as.ee/teenused/" TargetMode="External"/><Relationship Id="rId29" Type="http://schemas.openxmlformats.org/officeDocument/2006/relationships/hyperlink" Target="https://www.kredex.ee/et/teenused/ettevotte-rahastamiseks/laenukaend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orisont2020.ee/tutvustus/" TargetMode="External"/><Relationship Id="rId11" Type="http://schemas.openxmlformats.org/officeDocument/2006/relationships/hyperlink" Target="https://ec.europa.eu/easme/en/eic-fast-track-innovation-fti-0" TargetMode="External"/><Relationship Id="rId24" Type="http://schemas.openxmlformats.org/officeDocument/2006/relationships/hyperlink" Target="https://www.eas.ee/teenus/innovatsiooniosak/" TargetMode="External"/><Relationship Id="rId32" Type="http://schemas.openxmlformats.org/officeDocument/2006/relationships/hyperlink" Target="https://www.kredex.ee/et/riskikapital" TargetMode="External"/><Relationship Id="rId37" Type="http://schemas.openxmlformats.org/officeDocument/2006/relationships/hyperlink" Target="http://www.karma.vc/" TargetMode="External"/><Relationship Id="rId40" Type="http://schemas.openxmlformats.org/officeDocument/2006/relationships/hyperlink" Target="https://kik.ee/et/toetatavad-tegevused" TargetMode="External"/><Relationship Id="rId45" Type="http://schemas.openxmlformats.org/officeDocument/2006/relationships/hyperlink" Target="https://kik.ee/et/toetatav-tegevus/elektriliste-soidukite-soetamine" TargetMode="External"/><Relationship Id="rId5" Type="http://schemas.openxmlformats.org/officeDocument/2006/relationships/hyperlink" Target="https://www.etag.ee/rahastamine/" TargetMode="External"/><Relationship Id="rId15" Type="http://schemas.openxmlformats.org/officeDocument/2006/relationships/hyperlink" Target="https://www.etag.ee/rahastamine/uurimistoetused/arendusgrant/" TargetMode="External"/><Relationship Id="rId23" Type="http://schemas.openxmlformats.org/officeDocument/2006/relationships/hyperlink" Target="https://www.eas.ee/teenus/valisvarbamise-toetus/" TargetMode="External"/><Relationship Id="rId28" Type="http://schemas.openxmlformats.org/officeDocument/2006/relationships/hyperlink" Target="https://www.kredex.ee/et/teenused/ettevotte-rahastamiseks" TargetMode="External"/><Relationship Id="rId36" Type="http://schemas.openxmlformats.org/officeDocument/2006/relationships/hyperlink" Target="https://www.superangel.io/" TargetMode="External"/><Relationship Id="rId10" Type="http://schemas.openxmlformats.org/officeDocument/2006/relationships/hyperlink" Target="https://ec.europa.eu/easme/en/eic-accelerator" TargetMode="External"/><Relationship Id="rId19" Type="http://schemas.openxmlformats.org/officeDocument/2006/relationships/hyperlink" Target="https://www.eas.ee/teenus/digidiagnostika/" TargetMode="External"/><Relationship Id="rId31" Type="http://schemas.openxmlformats.org/officeDocument/2006/relationships/hyperlink" Target="https://www.kredex.ee/et/teenused/ettevotte-rahastamiseks/kapitalilaen" TargetMode="External"/><Relationship Id="rId44" Type="http://schemas.openxmlformats.org/officeDocument/2006/relationships/hyperlink" Target="https://kik.ee/et/toetatav-tegevus/ettevotete-ressursitohus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ag.ee/koostoo/horisont-2020/horisont-2020-ja-cost-projektide-ettevalmistustoetus-ning-balti-boonus/" TargetMode="External"/><Relationship Id="rId14" Type="http://schemas.openxmlformats.org/officeDocument/2006/relationships/hyperlink" Target="https://www.etag.ee/rahastamine/rakendusuuringute-toetused/" TargetMode="External"/><Relationship Id="rId22" Type="http://schemas.openxmlformats.org/officeDocument/2006/relationships/hyperlink" Target="https://www.eas.ee/teenus/arendusosak/" TargetMode="External"/><Relationship Id="rId27" Type="http://schemas.openxmlformats.org/officeDocument/2006/relationships/hyperlink" Target="https://www.eas.ee/teenus/tootearendustoetus-eurostars/" TargetMode="External"/><Relationship Id="rId30" Type="http://schemas.openxmlformats.org/officeDocument/2006/relationships/hyperlink" Target="https://www.kredex.ee/et/teenused/ettevotte-rahastamiseks/toostuslaen" TargetMode="External"/><Relationship Id="rId35" Type="http://schemas.openxmlformats.org/officeDocument/2006/relationships/hyperlink" Target="https://kredex.ee/et/teenused/ettevotte-rahastamiseks/stardilaen" TargetMode="External"/><Relationship Id="rId43" Type="http://schemas.openxmlformats.org/officeDocument/2006/relationships/hyperlink" Target="https://kik.ee/et/toetatav-tegevus/keskkonnalaen" TargetMode="External"/><Relationship Id="rId8" Type="http://schemas.openxmlformats.org/officeDocument/2006/relationships/hyperlink" Target="https://www.etag.ee/rahastamine/rakendusuuringute-toetuse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tag.ee/rahastamine/mobiilsustoetused/mobilitas-pluss-mobiilsustoetused/sektoritevahelise-mobiilsuse-toetus/" TargetMode="External"/><Relationship Id="rId17" Type="http://schemas.openxmlformats.org/officeDocument/2006/relationships/hyperlink" Target="https://www.eas.ee/teenus/rakendusuuringuteprogramm/" TargetMode="External"/><Relationship Id="rId25" Type="http://schemas.openxmlformats.org/officeDocument/2006/relationships/hyperlink" Target="https://www.eas.ee/teenus/ettevotte-arenguprogramm-2/" TargetMode="External"/><Relationship Id="rId33" Type="http://schemas.openxmlformats.org/officeDocument/2006/relationships/hyperlink" Target="https://startupestonia.ee/" TargetMode="External"/><Relationship Id="rId38" Type="http://schemas.openxmlformats.org/officeDocument/2006/relationships/hyperlink" Target="https://tera.vc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eas.ee/teenus/suurinvestori-toetus/" TargetMode="External"/><Relationship Id="rId41" Type="http://schemas.openxmlformats.org/officeDocument/2006/relationships/hyperlink" Target="https://kik.ee/et/toetatav-tegevus/innovaatiliste-tehnoloogiate-kasutuselevott-euroopa-liidu-innovatsioonif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Aron</dc:creator>
  <cp:keywords/>
  <dc:description/>
  <cp:lastModifiedBy>Raul Aron</cp:lastModifiedBy>
  <cp:revision>36</cp:revision>
  <dcterms:created xsi:type="dcterms:W3CDTF">2020-06-03T08:15:00Z</dcterms:created>
  <dcterms:modified xsi:type="dcterms:W3CDTF">2020-12-30T09:06:00Z</dcterms:modified>
</cp:coreProperties>
</file>